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/>
    </w:p>
    <w:tbl>
      <w:tblPr>
        <w:tblW w:w="0" w:type="auto"/>
        <w:tblLayout w:type="fixed"/>
        <w:tblCellMar>
          <w:left w:w="57" w:type="dxa"/>
          <w:top w:w="113" w:type="dxa"/>
          <w:right w:w="57" w:type="dxa"/>
        </w:tblCellMar>
        <w:tblLook w:val="04A0" w:firstRow="1" w:lastRow="0" w:firstColumn="1" w:lastColumn="0" w:noHBand="0" w:noVBand="1"/>
      </w:tblPr>
      <w:tblGrid>
        <w:gridCol w:w="4310"/>
        <w:gridCol w:w="656"/>
        <w:gridCol w:w="5581"/>
      </w:tblGrid>
      <w:tr>
        <w:tblPrEx/>
        <w:trPr>
          <w:trHeight w:val="1588"/>
        </w:trPr>
        <w:tc>
          <w:tcPr>
            <w:tcMar>
              <w:left w:w="57" w:type="dxa"/>
              <w:top w:w="113" w:type="dxa"/>
              <w:right w:w="57" w:type="dxa"/>
            </w:tcMar>
            <w:tcW w:w="4310" w:type="dxa"/>
            <w:textDirection w:val="lrTb"/>
            <w:noWrap w:val="false"/>
          </w:tcPr>
          <w:p>
            <w:pPr>
              <w:spacing w:line="360" w:lineRule="auto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477008" cy="781304"/>
                      <wp:effectExtent l="0" t="0" r="0" b="0"/>
                      <wp:docPr id="1" name="Picture 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/>
                              <pic:cNvPicPr/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477008" cy="78130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195.04pt;height:61.52pt;mso-wrap-distance-left:0.00pt;mso-wrap-distance-top:0.00pt;mso-wrap-distance-right:0.00pt;mso-wrap-distance-bottom:0.00pt;" stroked="false">
                      <v:path textboxrect="0,0,0,0"/>
                      <v:imagedata r:id="rId9" o:title=""/>
                    </v:shape>
                  </w:pict>
                </mc:Fallback>
              </mc:AlternateContent>
            </w:r>
            <w:r/>
          </w:p>
        </w:tc>
        <w:tc>
          <w:tcPr>
            <w:tcMar>
              <w:left w:w="57" w:type="dxa"/>
              <w:top w:w="113" w:type="dxa"/>
              <w:right w:w="57" w:type="dxa"/>
            </w:tcMar>
            <w:tcW w:w="656" w:type="dxa"/>
            <w:vAlign w:val="center"/>
            <w:textDirection w:val="lrTb"/>
            <w:noWrap w:val="false"/>
          </w:tcPr>
          <w:p>
            <w:pPr>
              <w:spacing w:line="360" w:lineRule="auto"/>
              <w:rPr>
                <w:i/>
                <w:sz w:val="26"/>
              </w:rPr>
            </w:pPr>
            <w:r>
              <w:rPr>
                <w:i/>
                <w:sz w:val="26"/>
              </w:rPr>
            </w:r>
            <w:r>
              <w:rPr>
                <w:i/>
                <w:sz w:val="26"/>
              </w:rPr>
            </w:r>
          </w:p>
        </w:tc>
        <w:tc>
          <w:tcPr>
            <w:tcMar>
              <w:left w:w="57" w:type="dxa"/>
              <w:top w:w="113" w:type="dxa"/>
              <w:right w:w="57" w:type="dxa"/>
            </w:tcMar>
            <w:tcW w:w="5581" w:type="dxa"/>
            <w:textDirection w:val="lrTb"/>
            <w:noWrap w:val="false"/>
          </w:tcPr>
          <w:p>
            <w:pPr>
              <w:spacing w:line="360" w:lineRule="auto"/>
            </w:pPr>
            <w:r>
              <w:t xml:space="preserve">105066, Россия, г. Москва, ул. Старая </w:t>
            </w:r>
            <w:r>
              <w:t xml:space="preserve">Басманная</w:t>
            </w:r>
            <w:r>
              <w:t xml:space="preserve">,</w:t>
            </w:r>
            <w:r/>
          </w:p>
          <w:p>
            <w:pPr>
              <w:spacing w:line="360" w:lineRule="auto"/>
            </w:pPr>
            <w:r>
              <w:t xml:space="preserve">д. 38/2, с. 1, этаж 3, пом. 1, комн. 2</w:t>
            </w:r>
            <w:r/>
          </w:p>
          <w:p>
            <w:pPr>
              <w:spacing w:line="360" w:lineRule="auto"/>
            </w:pPr>
            <w:r>
              <w:t xml:space="preserve">(495) 632-23-22, 628-35-08, 628-47-88</w:t>
            </w:r>
            <w:r>
              <w:br/>
            </w:r>
            <w:hyperlink r:id="rId10" w:tooltip="http://www.bujet.ru/" w:history="1">
              <w:r>
                <w:t xml:space="preserve">www.bujet.ru</w:t>
              </w:r>
            </w:hyperlink>
            <w:r>
              <w:t xml:space="preserve">, post@bujet.ru</w:t>
            </w:r>
            <w:r/>
          </w:p>
        </w:tc>
      </w:tr>
    </w:tbl>
    <w:p>
      <w:pPr>
        <w:jc w:val="center"/>
        <w:spacing w:line="240" w:lineRule="auto"/>
        <w:widowControl w:val="off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Всероссийский семинар-конференция</w:t>
      </w:r>
      <w:r>
        <w:rPr>
          <w:rFonts w:ascii="Times New Roman" w:hAnsi="Times New Roman"/>
          <w:sz w:val="24"/>
        </w:rPr>
      </w:r>
    </w:p>
    <w:p>
      <w:pPr>
        <w:jc w:val="center"/>
        <w:spacing w:line="240" w:lineRule="auto"/>
        <w:widowControl w:val="off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учреждений культуры и для образовательных учреждений в сфере культуры, органов охраны объектов культурного наследия</w:t>
      </w:r>
      <w:r>
        <w:rPr>
          <w:rFonts w:ascii="Times New Roman" w:hAnsi="Times New Roman"/>
          <w:sz w:val="24"/>
        </w:rPr>
      </w:r>
    </w:p>
    <w:p>
      <w:pPr>
        <w:jc w:val="center"/>
        <w:spacing w:line="240" w:lineRule="auto"/>
        <w:widowControl w:val="off"/>
        <w:rPr>
          <w:rFonts w:ascii="Times New Roman" w:hAnsi="Times New Roman"/>
          <w:b/>
          <w:sz w:val="32"/>
          <w:highlight w:val="white"/>
        </w:rPr>
      </w:pPr>
      <w:r>
        <w:rPr>
          <w:rFonts w:ascii="Times New Roman" w:hAnsi="Times New Roman"/>
          <w:b/>
          <w:sz w:val="32"/>
          <w:highlight w:val="white"/>
        </w:rPr>
        <w:t xml:space="preserve">Трансформация методологии учёта государственных </w:t>
      </w:r>
      <w:r>
        <w:rPr>
          <w:rFonts w:ascii="Times New Roman" w:hAnsi="Times New Roman"/>
          <w:b/>
          <w:sz w:val="32"/>
          <w:highlight w:val="white"/>
        </w:rPr>
      </w:r>
    </w:p>
    <w:p>
      <w:pPr>
        <w:jc w:val="center"/>
        <w:spacing w:line="240" w:lineRule="auto"/>
        <w:widowControl w:val="off"/>
        <w:rPr>
          <w:rFonts w:ascii="Times New Roman" w:hAnsi="Times New Roman"/>
          <w:b/>
          <w:sz w:val="32"/>
          <w:highlight w:val="white"/>
        </w:rPr>
      </w:pPr>
      <w:r>
        <w:rPr>
          <w:rFonts w:ascii="Times New Roman" w:hAnsi="Times New Roman"/>
          <w:b/>
          <w:sz w:val="32"/>
          <w:highlight w:val="white"/>
        </w:rPr>
        <w:t xml:space="preserve">финансов с 2027 года - </w:t>
      </w:r>
      <w:r>
        <w:rPr>
          <w:rFonts w:ascii="Times New Roman" w:hAnsi="Times New Roman"/>
          <w:b/>
          <w:sz w:val="32"/>
          <w:highlight w:val="white"/>
        </w:rPr>
        <w:t xml:space="preserve">цифровизация</w:t>
      </w:r>
      <w:r>
        <w:rPr>
          <w:rFonts w:ascii="Times New Roman" w:hAnsi="Times New Roman"/>
          <w:b/>
          <w:sz w:val="32"/>
          <w:highlight w:val="white"/>
        </w:rPr>
        <w:t xml:space="preserve"> процессов</w:t>
      </w:r>
      <w:r>
        <w:rPr>
          <w:rFonts w:ascii="Times New Roman" w:hAnsi="Times New Roman"/>
          <w:b/>
          <w:sz w:val="32"/>
          <w:highlight w:val="white"/>
        </w:rPr>
      </w:r>
    </w:p>
    <w:p>
      <w:pPr>
        <w:jc w:val="center"/>
        <w:spacing w:line="240" w:lineRule="auto"/>
        <w:widowControl w:val="off"/>
        <w:rPr>
          <w:rFonts w:ascii="Times New Roman" w:hAnsi="Times New Roman"/>
          <w:b/>
          <w:sz w:val="16"/>
          <w:highlight w:val="white"/>
        </w:rPr>
      </w:pPr>
      <w:r>
        <w:rPr>
          <w:rFonts w:ascii="Times New Roman" w:hAnsi="Times New Roman"/>
          <w:b/>
          <w:sz w:val="16"/>
          <w:highlight w:val="white"/>
        </w:rPr>
      </w:r>
      <w:r>
        <w:rPr>
          <w:rFonts w:ascii="Times New Roman" w:hAnsi="Times New Roman"/>
          <w:b/>
          <w:sz w:val="16"/>
          <w:highlight w:val="white"/>
        </w:rPr>
      </w:r>
    </w:p>
    <w:p>
      <w:pPr>
        <w:jc w:val="center"/>
        <w:spacing w:line="240" w:lineRule="auto"/>
        <w:widowControl w:val="off"/>
        <w:rPr>
          <w:rFonts w:ascii="Times New Roman" w:hAnsi="Times New Roman"/>
          <w:b/>
          <w:sz w:val="28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 xml:space="preserve">24 - 27 ноября 2026 года, г. Москва</w:t>
      </w:r>
      <w:r>
        <w:rPr>
          <w:rFonts w:ascii="Times New Roman" w:hAnsi="Times New Roman"/>
          <w:b/>
          <w:sz w:val="28"/>
          <w:highlight w:val="white"/>
        </w:rPr>
      </w:r>
    </w:p>
    <w:p>
      <w:pPr>
        <w:jc w:val="center"/>
        <w:spacing w:line="240" w:lineRule="auto"/>
        <w:widowControl w:val="off"/>
        <w:rPr>
          <w:rFonts w:ascii="Times New Roman" w:hAnsi="Times New Roman"/>
          <w:sz w:val="16"/>
          <w:u w:val="single"/>
        </w:rPr>
      </w:pPr>
      <w:r>
        <w:rPr>
          <w:rFonts w:ascii="Times New Roman" w:hAnsi="Times New Roman"/>
          <w:sz w:val="16"/>
          <w:u w:val="single"/>
        </w:rPr>
      </w:r>
      <w:r>
        <w:rPr>
          <w:rFonts w:ascii="Times New Roman" w:hAnsi="Times New Roman"/>
          <w:sz w:val="16"/>
          <w:u w:val="single"/>
        </w:rPr>
      </w:r>
    </w:p>
    <w:p>
      <w:pPr>
        <w:jc w:val="center"/>
        <w:spacing w:line="240" w:lineRule="auto"/>
        <w:widowControl w:val="off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 xml:space="preserve">Программа семинара:</w:t>
      </w:r>
      <w:r>
        <w:rPr>
          <w:rFonts w:ascii="Times New Roman" w:hAnsi="Times New Roman"/>
          <w:sz w:val="24"/>
          <w:u w:val="single"/>
        </w:rPr>
      </w:r>
    </w:p>
    <w:p>
      <w:pPr>
        <w:jc w:val="center"/>
        <w:spacing w:line="240" w:lineRule="auto"/>
        <w:widowControl w:val="off"/>
        <w:rPr>
          <w:rFonts w:ascii="Times New Roman" w:hAnsi="Times New Roman"/>
          <w:sz w:val="10"/>
          <w:u w:val="single"/>
        </w:rPr>
      </w:pPr>
      <w:r>
        <w:rPr>
          <w:rFonts w:ascii="Times New Roman" w:hAnsi="Times New Roman"/>
          <w:sz w:val="10"/>
          <w:u w:val="single"/>
        </w:rPr>
      </w:r>
      <w:r>
        <w:rPr>
          <w:rFonts w:ascii="Times New Roman" w:hAnsi="Times New Roman"/>
          <w:sz w:val="10"/>
          <w:u w:val="single"/>
        </w:rPr>
      </w:r>
    </w:p>
    <w:p>
      <w:pPr>
        <w:spacing w:after="16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Новации правового регулирования деятельности бюджетных и автономных учреждений. Обзор отдельных изменений в бюджетное законодательство РФ.</w:t>
      </w:r>
      <w:r>
        <w:rPr>
          <w:rFonts w:ascii="Times New Roman" w:hAnsi="Times New Roman"/>
          <w:b/>
          <w:sz w:val="24"/>
        </w:rPr>
      </w:r>
    </w:p>
    <w:p>
      <w:pPr>
        <w:pStyle w:val="791"/>
        <w:numPr>
          <w:ilvl w:val="0"/>
          <w:numId w:val="1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Казначейское обслуживание и казначейское сопровождение.</w:t>
      </w:r>
      <w:r>
        <w:rPr>
          <w:rFonts w:ascii="Times New Roman" w:hAnsi="Times New Roman"/>
          <w:sz w:val="22"/>
        </w:rPr>
      </w:r>
    </w:p>
    <w:p>
      <w:pPr>
        <w:pStyle w:val="791"/>
        <w:numPr>
          <w:ilvl w:val="0"/>
          <w:numId w:val="1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Казначейский мониторинг. Расширение зоны применения.</w:t>
      </w:r>
      <w:r>
        <w:rPr>
          <w:rFonts w:ascii="Times New Roman" w:hAnsi="Times New Roman"/>
          <w:sz w:val="22"/>
        </w:rPr>
      </w:r>
    </w:p>
    <w:p>
      <w:pPr>
        <w:pStyle w:val="791"/>
        <w:numPr>
          <w:ilvl w:val="0"/>
          <w:numId w:val="1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Государственные информационные системы, изменения в законодательстве.</w:t>
      </w:r>
      <w:r>
        <w:rPr>
          <w:rFonts w:ascii="Times New Roman" w:hAnsi="Times New Roman"/>
          <w:sz w:val="22"/>
        </w:rPr>
      </w:r>
    </w:p>
    <w:p>
      <w:pPr>
        <w:pStyle w:val="791"/>
        <w:numPr>
          <w:ilvl w:val="0"/>
          <w:numId w:val="1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Изменения условий предоставления субсидий на иные цели и грантов в форме субсидий. Практические рекомендации по формированию учреждениями отчетов об использовании субсидии, предусмотренных типовыми формами соглашений (с учетом внесенных изменений).</w:t>
      </w:r>
      <w:r>
        <w:rPr>
          <w:rFonts w:ascii="Times New Roman" w:hAnsi="Times New Roman"/>
          <w:sz w:val="22"/>
        </w:rPr>
      </w:r>
    </w:p>
    <w:p>
      <w:pPr>
        <w:pStyle w:val="791"/>
        <w:numPr>
          <w:ilvl w:val="0"/>
          <w:numId w:val="1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Изменения в регулировании планирования финансово-хозяйственной деятельности учреждений.</w:t>
      </w:r>
      <w:r>
        <w:rPr>
          <w:rFonts w:ascii="Times New Roman" w:hAnsi="Times New Roman"/>
          <w:sz w:val="22"/>
        </w:rPr>
      </w:r>
    </w:p>
    <w:p>
      <w:pPr>
        <w:pStyle w:val="791"/>
        <w:numPr>
          <w:ilvl w:val="0"/>
          <w:numId w:val="1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Изменения в регулировании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(муниципального).</w:t>
      </w:r>
      <w:r>
        <w:rPr>
          <w:rFonts w:ascii="Times New Roman" w:hAnsi="Times New Roman"/>
          <w:sz w:val="22"/>
        </w:rPr>
      </w:r>
    </w:p>
    <w:p>
      <w:pPr>
        <w:spacing w:after="160" w:line="240" w:lineRule="auto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Селезнева Галина Анатольевна, Минфин России</w:t>
      </w:r>
      <w:r>
        <w:rPr>
          <w:rFonts w:ascii="Times New Roman" w:hAnsi="Times New Roman"/>
          <w:i/>
          <w:sz w:val="24"/>
        </w:rPr>
      </w:r>
    </w:p>
    <w:p>
      <w:pPr>
        <w:jc w:val="both"/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Новации в учете и отчётности государственных финансов</w:t>
      </w:r>
      <w:r>
        <w:rPr>
          <w:rFonts w:ascii="Times New Roman" w:hAnsi="Times New Roman"/>
          <w:b/>
          <w:sz w:val="24"/>
        </w:rPr>
      </w:r>
    </w:p>
    <w:p>
      <w:pPr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Методические рекомендации по применению Единого плана счетов.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Система типовых корреспонденций бухгалтерского учета в цифровом формате - реализация положений ФСБУ ГФ «Планы счетов».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Инструкции по применению Планов счетов - цифровые аспекты методологии учёта госфинансов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Система мероприятий внутреннего контроля в целях применения требований федеральных стандартов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Технологическая интеграция учетных данных - новый этап в построении цифровой среды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Отдельные актуальные вопросы методологии учёта и отчётности госфинансов</w:t>
      </w:r>
      <w:r>
        <w:rPr>
          <w:rFonts w:ascii="Times New Roman" w:hAnsi="Times New Roman"/>
          <w:sz w:val="24"/>
        </w:rPr>
      </w:r>
    </w:p>
    <w:p>
      <w:pPr>
        <w:spacing w:line="240" w:lineRule="auto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Сивец</w:t>
      </w:r>
      <w:r>
        <w:rPr>
          <w:rFonts w:ascii="Times New Roman" w:hAnsi="Times New Roman"/>
          <w:i/>
          <w:sz w:val="24"/>
        </w:rPr>
        <w:t xml:space="preserve"> Светлана Викторовна, Минфин</w:t>
      </w:r>
      <w:r>
        <w:rPr>
          <w:rFonts w:ascii="Times New Roman" w:hAnsi="Times New Roman"/>
          <w:i/>
          <w:sz w:val="24"/>
        </w:rPr>
        <w:t xml:space="preserve"> России</w:t>
      </w:r>
      <w:r>
        <w:rPr>
          <w:rFonts w:ascii="Times New Roman" w:hAnsi="Times New Roman"/>
          <w:i/>
          <w:sz w:val="24"/>
        </w:rPr>
      </w:r>
    </w:p>
    <w:p>
      <w:p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jc w:val="both"/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Бюджетный (бухгалтерский) учет и отчетность – изменения в учете и предоставлении отчетности </w:t>
      </w:r>
      <w:r>
        <w:rPr>
          <w:rFonts w:ascii="Times New Roman" w:hAnsi="Times New Roman"/>
          <w:b/>
          <w:sz w:val="24"/>
        </w:rPr>
      </w:r>
    </w:p>
    <w:p>
      <w:pPr>
        <w:numPr>
          <w:ilvl w:val="0"/>
          <w:numId w:val="3"/>
        </w:numPr>
        <w:jc w:val="both"/>
        <w:spacing w:line="274" w:lineRule="exact"/>
        <w:widowControl w:val="off"/>
        <w:rPr>
          <w:rFonts w:ascii="Times New Roman" w:hAnsi="Times New Roman"/>
          <w:sz w:val="24"/>
        </w:rPr>
        <w:outlineLvl w:val="0"/>
      </w:pPr>
      <w:r>
        <w:rPr>
          <w:rFonts w:ascii="Times New Roman" w:hAnsi="Times New Roman"/>
          <w:sz w:val="24"/>
        </w:rPr>
        <w:t xml:space="preserve">Подробный разбор вопросов, присланных заранее от слушателей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3"/>
        </w:numPr>
        <w:jc w:val="both"/>
        <w:spacing w:line="274" w:lineRule="exact"/>
        <w:widowControl w:val="off"/>
        <w:rPr>
          <w:rFonts w:ascii="Times New Roman" w:hAnsi="Times New Roman"/>
          <w:sz w:val="24"/>
        </w:rPr>
        <w:outlineLvl w:val="0"/>
      </w:pPr>
      <w:r>
        <w:rPr>
          <w:rFonts w:ascii="Times New Roman" w:hAnsi="Times New Roman"/>
          <w:sz w:val="24"/>
        </w:rPr>
        <w:t xml:space="preserve">Основные изменения в нормативно-правовом регулировании процедур ведения бюджетного (бухгалтерского) учета и формирования отчетности в государственных учреждениях. Практические вопросы и особенности. 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4"/>
        </w:numPr>
        <w:spacing w:line="274" w:lineRule="exact"/>
        <w:widowControl w:val="off"/>
        <w:rPr>
          <w:rFonts w:ascii="Times New Roman" w:hAnsi="Times New Roman"/>
          <w:sz w:val="24"/>
        </w:rPr>
        <w:outlineLvl w:val="0"/>
      </w:pPr>
      <w:r>
        <w:rPr>
          <w:rFonts w:ascii="Times New Roman" w:hAnsi="Times New Roman"/>
          <w:sz w:val="24"/>
        </w:rPr>
        <w:t xml:space="preserve">Представление годовой бухгалтерской отчетности за 2026 год. 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4"/>
        </w:numPr>
        <w:spacing w:line="274" w:lineRule="exact"/>
        <w:widowControl w:val="off"/>
        <w:rPr>
          <w:rFonts w:ascii="Times New Roman" w:hAnsi="Times New Roman"/>
          <w:sz w:val="24"/>
        </w:rPr>
        <w:outlineLvl w:val="0"/>
      </w:pPr>
      <w:r>
        <w:rPr>
          <w:rFonts w:ascii="Times New Roman" w:hAnsi="Times New Roman"/>
          <w:sz w:val="24"/>
        </w:rPr>
        <w:t xml:space="preserve">Отражение отдельных хозяйственных операций в формах бухгалтерской отчетности. 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4"/>
        </w:numPr>
        <w:spacing w:line="274" w:lineRule="exact"/>
        <w:widowControl w:val="off"/>
        <w:rPr>
          <w:rFonts w:ascii="Times New Roman" w:hAnsi="Times New Roman"/>
          <w:sz w:val="24"/>
        </w:rPr>
        <w:outlineLvl w:val="0"/>
      </w:pPr>
      <w:r>
        <w:rPr>
          <w:rFonts w:ascii="Times New Roman" w:hAnsi="Times New Roman"/>
          <w:sz w:val="24"/>
        </w:rPr>
        <w:t xml:space="preserve">Ответственность за несвоевременное представление бухгалтерской отчетности.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4"/>
        </w:numPr>
        <w:spacing w:line="274" w:lineRule="exact"/>
        <w:widowControl w:val="off"/>
        <w:rPr>
          <w:rFonts w:ascii="Times New Roman" w:hAnsi="Times New Roman"/>
          <w:sz w:val="24"/>
        </w:rPr>
        <w:outlineLvl w:val="0"/>
      </w:pPr>
      <w:r>
        <w:rPr>
          <w:rFonts w:ascii="Times New Roman" w:hAnsi="Times New Roman"/>
          <w:sz w:val="24"/>
        </w:rPr>
        <w:t xml:space="preserve">Разбор часто встречающихся ошибок учреждений при представлении годовой бухгалтерской отчетности. Порядок заполнения отдельных форм бухгалтерской отчетности. </w:t>
      </w:r>
      <w:r>
        <w:rPr>
          <w:rFonts w:ascii="Times New Roman" w:hAnsi="Times New Roman"/>
          <w:sz w:val="24"/>
        </w:rPr>
      </w:r>
    </w:p>
    <w:p>
      <w:pPr>
        <w:ind w:left="312" w:hanging="312"/>
        <w:spacing w:line="274" w:lineRule="exact"/>
        <w:widowControl w:val="off"/>
        <w:rPr>
          <w:rFonts w:ascii="Times New Roman" w:hAnsi="Times New Roman"/>
          <w:i/>
          <w:sz w:val="24"/>
        </w:rPr>
        <w:outlineLvl w:val="0"/>
      </w:pPr>
      <w:r>
        <w:rPr>
          <w:rFonts w:ascii="Times New Roman" w:hAnsi="Times New Roman"/>
          <w:i/>
          <w:sz w:val="24"/>
        </w:rPr>
        <w:t xml:space="preserve">Дубовик Антон Викторович, Федеральное Казначейство</w:t>
      </w:r>
      <w:r>
        <w:rPr>
          <w:rFonts w:ascii="Times New Roman" w:hAnsi="Times New Roman"/>
          <w:i/>
          <w:sz w:val="24"/>
        </w:rPr>
      </w:r>
    </w:p>
    <w:p>
      <w:pPr>
        <w:jc w:val="both"/>
        <w:spacing w:before="5" w:line="240" w:lineRule="auto"/>
        <w:widowControl w:val="off"/>
        <w:rPr>
          <w:rFonts w:ascii="Times New Roman" w:hAnsi="Times New Roman"/>
          <w:b/>
          <w:i/>
          <w:color w:val="ff0000"/>
          <w:sz w:val="10"/>
        </w:rPr>
        <w:outlineLvl w:val="0"/>
      </w:pPr>
      <w:r>
        <w:rPr>
          <w:rFonts w:ascii="Times New Roman" w:hAnsi="Times New Roman"/>
          <w:b/>
          <w:i/>
          <w:color w:val="ff0000"/>
          <w:sz w:val="10"/>
        </w:rPr>
      </w:r>
      <w:r>
        <w:rPr>
          <w:rFonts w:ascii="Times New Roman" w:hAnsi="Times New Roman"/>
          <w:b/>
          <w:i/>
          <w:color w:val="ff0000"/>
          <w:sz w:val="10"/>
        </w:rPr>
      </w:r>
    </w:p>
    <w:p>
      <w:pPr>
        <w:jc w:val="both"/>
        <w:spacing w:before="5" w:line="240" w:lineRule="auto"/>
        <w:widowControl w:val="off"/>
        <w:rPr>
          <w:rFonts w:ascii="Times New Roman" w:hAnsi="Times New Roman"/>
          <w:b/>
          <w:i/>
          <w:color w:val="ff0000"/>
          <w:sz w:val="10"/>
        </w:rPr>
        <w:outlineLvl w:val="0"/>
      </w:pPr>
      <w:r>
        <w:rPr>
          <w:rFonts w:ascii="Times New Roman" w:hAnsi="Times New Roman"/>
          <w:b/>
          <w:i/>
          <w:color w:val="ff0000"/>
          <w:sz w:val="10"/>
        </w:rPr>
      </w:r>
      <w:r>
        <w:rPr>
          <w:rFonts w:ascii="Times New Roman" w:hAnsi="Times New Roman"/>
          <w:b/>
          <w:i/>
          <w:color w:val="ff0000"/>
          <w:sz w:val="10"/>
        </w:rPr>
      </w:r>
    </w:p>
    <w:p>
      <w:pPr>
        <w:jc w:val="both"/>
        <w:spacing w:before="5" w:line="240" w:lineRule="auto"/>
        <w:widowControl w:val="off"/>
        <w:rPr>
          <w:rFonts w:ascii="Times New Roman" w:hAnsi="Times New Roman"/>
          <w:b/>
          <w:i/>
          <w:color w:val="ff0000"/>
          <w:sz w:val="10"/>
        </w:rPr>
        <w:outlineLvl w:val="0"/>
      </w:pPr>
      <w:r>
        <w:rPr>
          <w:rFonts w:ascii="Times New Roman" w:hAnsi="Times New Roman"/>
          <w:b/>
          <w:i/>
          <w:color w:val="ff0000"/>
          <w:sz w:val="10"/>
        </w:rPr>
      </w:r>
      <w:r>
        <w:rPr>
          <w:rFonts w:ascii="Times New Roman" w:hAnsi="Times New Roman"/>
          <w:b/>
          <w:i/>
          <w:color w:val="ff0000"/>
          <w:sz w:val="10"/>
        </w:rPr>
      </w:r>
    </w:p>
    <w:p>
      <w:pPr>
        <w:jc w:val="both"/>
        <w:spacing w:before="5" w:line="240" w:lineRule="auto"/>
        <w:widowControl w:val="off"/>
        <w:rPr>
          <w:rFonts w:ascii="Times New Roman" w:hAnsi="Times New Roman"/>
          <w:b/>
          <w:i/>
          <w:color w:val="ff0000"/>
          <w:sz w:val="10"/>
        </w:rPr>
        <w:outlineLvl w:val="0"/>
      </w:pPr>
      <w:r>
        <w:rPr>
          <w:rFonts w:ascii="Times New Roman" w:hAnsi="Times New Roman"/>
          <w:b/>
          <w:i/>
          <w:color w:val="ff0000"/>
          <w:sz w:val="10"/>
        </w:rPr>
      </w:r>
      <w:r>
        <w:rPr>
          <w:rFonts w:ascii="Times New Roman" w:hAnsi="Times New Roman"/>
          <w:b/>
          <w:i/>
          <w:color w:val="ff0000"/>
          <w:sz w:val="10"/>
        </w:rPr>
      </w:r>
    </w:p>
    <w:p>
      <w:pPr>
        <w:jc w:val="both"/>
        <w:spacing w:before="5" w:line="240" w:lineRule="auto"/>
        <w:widowControl w:val="off"/>
        <w:rPr>
          <w:rFonts w:ascii="Times New Roman" w:hAnsi="Times New Roman"/>
          <w:b/>
          <w:i/>
          <w:color w:val="ff0000"/>
          <w:sz w:val="10"/>
        </w:rPr>
        <w:outlineLvl w:val="0"/>
      </w:pPr>
      <w:r>
        <w:rPr>
          <w:rFonts w:ascii="Times New Roman" w:hAnsi="Times New Roman"/>
          <w:b/>
          <w:i/>
          <w:color w:val="ff0000"/>
          <w:sz w:val="10"/>
        </w:rPr>
      </w:r>
      <w:r>
        <w:rPr>
          <w:rFonts w:ascii="Times New Roman" w:hAnsi="Times New Roman"/>
          <w:b/>
          <w:i/>
          <w:color w:val="ff0000"/>
          <w:sz w:val="10"/>
        </w:rPr>
      </w:r>
    </w:p>
    <w:p>
      <w:pPr>
        <w:jc w:val="both"/>
        <w:spacing w:before="5" w:line="240" w:lineRule="auto"/>
        <w:widowControl w:val="off"/>
        <w:rPr>
          <w:rFonts w:ascii="Times New Roman" w:hAnsi="Times New Roman"/>
          <w:b/>
          <w:i/>
          <w:color w:val="ff0000"/>
          <w:sz w:val="10"/>
        </w:rPr>
        <w:outlineLvl w:val="0"/>
      </w:pPr>
      <w:r>
        <w:rPr>
          <w:rFonts w:ascii="Times New Roman" w:hAnsi="Times New Roman"/>
          <w:b/>
          <w:i/>
          <w:color w:val="ff0000"/>
          <w:sz w:val="10"/>
        </w:rPr>
      </w:r>
      <w:r>
        <w:rPr>
          <w:rFonts w:ascii="Times New Roman" w:hAnsi="Times New Roman"/>
          <w:b/>
          <w:i/>
          <w:color w:val="ff0000"/>
          <w:sz w:val="10"/>
        </w:rPr>
      </w:r>
    </w:p>
    <w:p>
      <w:pPr>
        <w:jc w:val="both"/>
        <w:spacing w:before="5" w:line="240" w:lineRule="auto"/>
        <w:widowControl w:val="off"/>
        <w:rPr>
          <w:rFonts w:ascii="Times New Roman" w:hAnsi="Times New Roman"/>
          <w:b/>
          <w:i/>
          <w:color w:val="ff0000"/>
          <w:sz w:val="10"/>
        </w:rPr>
        <w:outlineLvl w:val="0"/>
      </w:pPr>
      <w:r>
        <w:rPr>
          <w:rFonts w:ascii="Times New Roman" w:hAnsi="Times New Roman"/>
          <w:b/>
          <w:i/>
          <w:color w:val="ff0000"/>
          <w:sz w:val="10"/>
        </w:rPr>
      </w:r>
      <w:r>
        <w:rPr>
          <w:rFonts w:ascii="Times New Roman" w:hAnsi="Times New Roman"/>
          <w:b/>
          <w:i/>
          <w:color w:val="ff0000"/>
          <w:sz w:val="10"/>
        </w:rPr>
      </w:r>
    </w:p>
    <w:p>
      <w:pPr>
        <w:pStyle w:val="79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Актуальные вопросы методологии и осуществления государственного финансового контроля в 2027 году. </w:t>
      </w:r>
      <w:r>
        <w:rPr>
          <w:rFonts w:ascii="Times New Roman" w:hAnsi="Times New Roman"/>
          <w:b/>
          <w:sz w:val="24"/>
        </w:rPr>
      </w:r>
    </w:p>
    <w:p>
      <w:pPr>
        <w:spacing w:before="5" w:line="240" w:lineRule="auto"/>
        <w:widowControl w:val="off"/>
        <w:rPr>
          <w:rFonts w:ascii="Times New Roman" w:hAnsi="Times New Roman"/>
          <w:i/>
          <w:sz w:val="24"/>
        </w:rPr>
        <w:outlineLvl w:val="0"/>
      </w:pPr>
      <w:r>
        <w:rPr>
          <w:rFonts w:ascii="Times New Roman" w:hAnsi="Times New Roman"/>
          <w:b/>
          <w:i/>
          <w:sz w:val="24"/>
        </w:rPr>
        <w:t xml:space="preserve">Шестакова Екатерина Владимировна</w:t>
      </w:r>
      <w:r>
        <w:rPr>
          <w:rFonts w:ascii="Times New Roman" w:hAnsi="Times New Roman"/>
          <w:i/>
          <w:sz w:val="24"/>
        </w:rPr>
        <w:t xml:space="preserve">, </w:t>
      </w:r>
      <w:r>
        <w:rPr>
          <w:rFonts w:ascii="Times New Roman" w:hAnsi="Times New Roman"/>
          <w:i/>
          <w:sz w:val="24"/>
        </w:rPr>
        <w:t xml:space="preserve">к.ю.н</w:t>
      </w:r>
      <w:r>
        <w:rPr>
          <w:rFonts w:ascii="Times New Roman" w:hAnsi="Times New Roman"/>
          <w:i/>
          <w:sz w:val="24"/>
        </w:rPr>
        <w:t xml:space="preserve">., практик в области правового и налогового консалтинга, бухгалтерского и бюджетного учета</w:t>
      </w:r>
      <w:r>
        <w:rPr>
          <w:rFonts w:ascii="Times New Roman" w:hAnsi="Times New Roman"/>
          <w:i/>
          <w:sz w:val="24"/>
        </w:rPr>
      </w:r>
    </w:p>
    <w:p>
      <w:pPr>
        <w:pStyle w:val="791"/>
        <w:rPr>
          <w:color w:val="ff0000"/>
          <w:sz w:val="10"/>
        </w:rPr>
      </w:pPr>
      <w:r>
        <w:rPr>
          <w:color w:val="ff0000"/>
          <w:sz w:val="10"/>
        </w:rPr>
      </w:r>
      <w:r>
        <w:rPr>
          <w:color w:val="ff0000"/>
          <w:sz w:val="10"/>
        </w:rPr>
      </w:r>
    </w:p>
    <w:p>
      <w:pPr>
        <w:jc w:val="both"/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Оплата труда в бюджетном учреждении 2027 г. </w:t>
      </w:r>
      <w:r>
        <w:rPr>
          <w:rFonts w:ascii="Times New Roman" w:hAnsi="Times New Roman"/>
          <w:b/>
          <w:sz w:val="24"/>
        </w:rPr>
      </w:r>
    </w:p>
    <w:p>
      <w:pPr>
        <w:numPr>
          <w:ilvl w:val="0"/>
          <w:numId w:val="5"/>
        </w:numPr>
        <w:jc w:val="both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Система оплаты труда в бюджетной сфере – требования в 2027 году. Общий порядок организации трудовых отношений в бюджетной сфере. 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5"/>
        </w:numPr>
        <w:ind w:right="425"/>
        <w:jc w:val="both"/>
        <w:spacing w:line="240" w:lineRule="auto"/>
        <w:widowControl w:val="off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Особенности финансового обеспечения расходов на оплату труда в 2027 г. 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5"/>
        </w:numPr>
        <w:ind w:right="425"/>
        <w:jc w:val="both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Ответственность работника и удержания из заработной платы. Удержания из заработной платы п</w:t>
      </w:r>
      <w:bookmarkStart w:id="0" w:name="_GoBack"/>
      <w:r/>
      <w:bookmarkEnd w:id="0"/>
      <w:r>
        <w:rPr>
          <w:rFonts w:ascii="Times New Roman" w:hAnsi="Times New Roman"/>
          <w:sz w:val="24"/>
        </w:rPr>
        <w:t xml:space="preserve">о различным основаниям. 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5"/>
        </w:numPr>
        <w:ind w:right="425"/>
        <w:jc w:val="both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Оплата труда в условиях ненормированного рабочего дня</w:t>
      </w:r>
      <w:r>
        <w:rPr>
          <w:rFonts w:ascii="Times New Roman" w:hAnsi="Times New Roman"/>
          <w:sz w:val="24"/>
        </w:rPr>
        <w:t xml:space="preserve">, при каких условиях можно установить работнику ненормированный рабочий день.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5"/>
        </w:numPr>
        <w:ind w:right="425"/>
        <w:jc w:val="both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Установление порядка работы в нерабочие и праздничные дни, оплата труда в выходные и нерабочие праздничные дни.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5"/>
        </w:numPr>
        <w:ind w:right="425"/>
        <w:jc w:val="both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Расчеты с работниками при увольнении. 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5"/>
        </w:numPr>
        <w:ind w:right="425"/>
        <w:jc w:val="both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Новые вычеты и изменения в них для удержания НДФЛ.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5"/>
        </w:numPr>
        <w:ind w:right="425"/>
        <w:jc w:val="both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Система оплаты труда в учреждениях бюджетной сферы. Внутренние документы учреждения для организации трудовых отношений. 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5"/>
        </w:numPr>
        <w:ind w:right="425"/>
        <w:jc w:val="both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Изменения в пособиях и МРОТ, а также последствия за невыполнение норм законодательства.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5"/>
        </w:numPr>
        <w:ind w:right="425"/>
        <w:jc w:val="both"/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Разбор судебной практики по различным выплатам сотрудникам.</w:t>
      </w:r>
      <w:r>
        <w:rPr>
          <w:rFonts w:ascii="Times New Roman" w:hAnsi="Times New Roman"/>
          <w:sz w:val="24"/>
        </w:rPr>
      </w:r>
    </w:p>
    <w:p>
      <w:pPr>
        <w:ind w:left="312" w:hanging="312"/>
        <w:spacing w:before="5" w:line="240" w:lineRule="auto"/>
        <w:widowControl w:val="off"/>
        <w:rPr>
          <w:rFonts w:ascii="Times New Roman" w:hAnsi="Times New Roman"/>
          <w:b/>
          <w:i/>
          <w:sz w:val="24"/>
        </w:rPr>
        <w:outlineLvl w:val="0"/>
      </w:pPr>
      <w:r>
        <w:rPr>
          <w:rFonts w:ascii="Times New Roman" w:hAnsi="Times New Roman"/>
          <w:b/>
          <w:i/>
          <w:sz w:val="24"/>
        </w:rPr>
        <w:t xml:space="preserve">Гаврилов Дмитрий Викторович, </w:t>
      </w:r>
      <w:r>
        <w:rPr>
          <w:rFonts w:ascii="Times New Roman" w:hAnsi="Times New Roman"/>
          <w:i/>
          <w:sz w:val="24"/>
        </w:rPr>
        <w:t xml:space="preserve">Минфин России</w:t>
      </w:r>
      <w:r>
        <w:rPr>
          <w:rFonts w:ascii="Times New Roman" w:hAnsi="Times New Roman"/>
          <w:b/>
          <w:i/>
          <w:sz w:val="24"/>
        </w:rPr>
      </w:r>
    </w:p>
    <w:p>
      <w:pPr>
        <w:ind w:left="312" w:hanging="312"/>
        <w:spacing w:before="5" w:line="240" w:lineRule="auto"/>
        <w:widowControl w:val="off"/>
        <w:rPr>
          <w:rFonts w:ascii="Times New Roman" w:hAnsi="Times New Roman"/>
          <w:color w:val="ff0000"/>
          <w:sz w:val="24"/>
          <w:u w:val="single"/>
        </w:rPr>
        <w:outlineLvl w:val="0"/>
      </w:pPr>
      <w:r>
        <w:rPr>
          <w:rFonts w:ascii="Times New Roman" w:hAnsi="Times New Roman"/>
          <w:color w:val="ff0000"/>
          <w:sz w:val="24"/>
          <w:u w:val="single"/>
        </w:rPr>
      </w:r>
      <w:r>
        <w:rPr>
          <w:rFonts w:ascii="Times New Roman" w:hAnsi="Times New Roman"/>
          <w:color w:val="ff0000"/>
          <w:sz w:val="24"/>
          <w:u w:val="single"/>
        </w:rPr>
      </w:r>
    </w:p>
    <w:p>
      <w:pPr>
        <w:spacing w:before="5" w:line="240" w:lineRule="auto"/>
        <w:widowControl w:val="off"/>
        <w:rPr>
          <w:rFonts w:ascii="Times New Roman" w:hAnsi="Times New Roman"/>
          <w:b/>
          <w:sz w:val="24"/>
        </w:rPr>
        <w:outlineLvl w:val="0"/>
      </w:pPr>
      <w:r>
        <w:rPr>
          <w:rFonts w:ascii="Times New Roman" w:hAnsi="Times New Roman"/>
          <w:b/>
          <w:sz w:val="24"/>
        </w:rPr>
        <w:t xml:space="preserve">Искусственный интеллект в органах государственной власти: нормативное правовое регулирование, ограничения, безопасность и перспективы</w:t>
      </w:r>
      <w:r>
        <w:rPr>
          <w:rFonts w:ascii="Times New Roman" w:hAnsi="Times New Roman"/>
          <w:b/>
          <w:sz w:val="24"/>
        </w:rPr>
      </w:r>
    </w:p>
    <w:p>
      <w:pPr>
        <w:spacing w:before="5" w:line="240" w:lineRule="auto"/>
        <w:widowControl w:val="off"/>
        <w:rPr>
          <w:rFonts w:ascii="Times New Roman" w:hAnsi="Times New Roman"/>
          <w:i/>
          <w:sz w:val="24"/>
        </w:rPr>
        <w:outlineLvl w:val="0"/>
      </w:pPr>
      <w:r>
        <w:rPr>
          <w:rFonts w:ascii="Times New Roman" w:hAnsi="Times New Roman"/>
          <w:b/>
          <w:i/>
          <w:sz w:val="24"/>
        </w:rPr>
        <w:t xml:space="preserve">Домбровский Александр Николаевич</w:t>
      </w:r>
      <w:r>
        <w:rPr>
          <w:rFonts w:ascii="Times New Roman" w:hAnsi="Times New Roman"/>
          <w:i/>
          <w:sz w:val="24"/>
        </w:rPr>
        <w:t xml:space="preserve"> - научный редактор журнала «Бюджет», председатель Союза развития </w:t>
      </w:r>
      <w:r>
        <w:rPr>
          <w:rFonts w:ascii="Times New Roman" w:hAnsi="Times New Roman"/>
          <w:i/>
          <w:sz w:val="24"/>
        </w:rPr>
        <w:t xml:space="preserve">цифровизации</w:t>
      </w:r>
      <w:r>
        <w:rPr>
          <w:rFonts w:ascii="Times New Roman" w:hAnsi="Times New Roman"/>
          <w:i/>
          <w:sz w:val="24"/>
        </w:rPr>
        <w:t xml:space="preserve"> общественных финансов</w:t>
      </w:r>
      <w:r>
        <w:rPr>
          <w:rFonts w:ascii="Times New Roman" w:hAnsi="Times New Roman"/>
          <w:i/>
          <w:sz w:val="24"/>
        </w:rPr>
      </w:r>
    </w:p>
    <w:p>
      <w:pPr>
        <w:spacing w:before="5" w:line="240" w:lineRule="auto"/>
        <w:widowControl w:val="off"/>
        <w:rPr>
          <w:rFonts w:ascii="Times New Roman" w:hAnsi="Times New Roman"/>
          <w:b/>
          <w:sz w:val="24"/>
        </w:rPr>
        <w:outlineLvl w:val="0"/>
      </w:pPr>
      <w:r>
        <w:rPr>
          <w:rFonts w:ascii="Times New Roman" w:hAnsi="Times New Roman"/>
          <w:b/>
          <w:sz w:val="24"/>
        </w:rPr>
        <w:t xml:space="preserve">Искусственный</w:t>
      </w:r>
      <w:r>
        <w:rPr>
          <w:rFonts w:ascii="Times New Roman" w:hAnsi="Times New Roman"/>
          <w:b/>
          <w:sz w:val="24"/>
        </w:rPr>
        <w:t xml:space="preserve"> интеллект в органах государственной власти: практика применения, готовые ИИ-решения</w:t>
      </w:r>
      <w:r>
        <w:rPr>
          <w:rFonts w:ascii="Times New Roman" w:hAnsi="Times New Roman"/>
          <w:b/>
          <w:sz w:val="24"/>
        </w:rPr>
      </w:r>
    </w:p>
    <w:p>
      <w:pPr>
        <w:spacing w:before="5" w:line="240" w:lineRule="auto"/>
        <w:widowControl w:val="off"/>
        <w:rPr>
          <w:rFonts w:ascii="Times New Roman" w:hAnsi="Times New Roman"/>
          <w:i/>
          <w:sz w:val="24"/>
        </w:rPr>
        <w:outlineLvl w:val="0"/>
      </w:pPr>
      <w:r>
        <w:rPr>
          <w:rFonts w:ascii="Times New Roman" w:hAnsi="Times New Roman"/>
          <w:b/>
          <w:i/>
          <w:sz w:val="24"/>
        </w:rPr>
        <w:t xml:space="preserve">Немов</w:t>
      </w:r>
      <w:r>
        <w:rPr>
          <w:rFonts w:ascii="Times New Roman" w:hAnsi="Times New Roman"/>
          <w:b/>
          <w:i/>
          <w:sz w:val="24"/>
        </w:rPr>
        <w:t xml:space="preserve"> Игорь Александрович</w:t>
      </w:r>
      <w:r>
        <w:rPr>
          <w:rFonts w:ascii="Times New Roman" w:hAnsi="Times New Roman"/>
          <w:i/>
          <w:sz w:val="24"/>
        </w:rPr>
        <w:t xml:space="preserve"> - советник руководителя Т1 ИИ.</w:t>
      </w:r>
      <w:r>
        <w:rPr>
          <w:rFonts w:ascii="Times New Roman" w:hAnsi="Times New Roman"/>
          <w:i/>
          <w:sz w:val="24"/>
        </w:rPr>
      </w:r>
    </w:p>
    <w:p>
      <w:pPr>
        <w:spacing w:before="5" w:line="240" w:lineRule="auto"/>
        <w:widowControl w:val="off"/>
        <w:rPr>
          <w:rFonts w:ascii="Times New Roman" w:hAnsi="Times New Roman"/>
          <w:i/>
          <w:sz w:val="24"/>
        </w:rPr>
        <w:outlineLvl w:val="0"/>
      </w:pPr>
      <w:r>
        <w:rPr>
          <w:rFonts w:ascii="Times New Roman" w:hAnsi="Times New Roman"/>
          <w:i/>
          <w:sz w:val="24"/>
        </w:rPr>
      </w:r>
      <w:r>
        <w:rPr>
          <w:rFonts w:ascii="Times New Roman" w:hAnsi="Times New Roman"/>
          <w:i/>
          <w:sz w:val="24"/>
        </w:rPr>
      </w:r>
    </w:p>
    <w:p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Нововв</w:t>
      </w:r>
      <w:r>
        <w:rPr>
          <w:rFonts w:ascii="Times New Roman" w:hAnsi="Times New Roman"/>
          <w:b/>
          <w:sz w:val="24"/>
        </w:rPr>
        <w:t xml:space="preserve">едения в сфере регулирования 44-ФЗ и 223-ФЗ. Оптимизационные поправки и практика применения норм законодательства о закупках для заказчиков и поставщиков. Ожидаемые изменения. Актуальная судебная и административная практика, обзор позиции органов контроля.</w:t>
      </w:r>
      <w:r>
        <w:rPr>
          <w:rFonts w:ascii="Times New Roman" w:hAnsi="Times New Roman"/>
          <w:b/>
          <w:sz w:val="24"/>
        </w:rPr>
      </w:r>
    </w:p>
    <w:p>
      <w:pPr>
        <w:spacing w:line="240" w:lineRule="auto"/>
        <w:rPr>
          <w:rFonts w:ascii="Times New Roman" w:hAnsi="Times New Roman"/>
          <w:b/>
          <w:sz w:val="22"/>
          <w:u w:val="single"/>
        </w:rPr>
      </w:pPr>
      <w:r>
        <w:rPr>
          <w:rFonts w:ascii="Times New Roman" w:hAnsi="Times New Roman"/>
          <w:b/>
          <w:sz w:val="22"/>
          <w:u w:val="single"/>
        </w:rPr>
        <w:t xml:space="preserve">44-ФЗ</w:t>
      </w:r>
      <w:r>
        <w:rPr>
          <w:rFonts w:ascii="Times New Roman" w:hAnsi="Times New Roman"/>
          <w:b/>
          <w:sz w:val="22"/>
          <w:u w:val="single"/>
        </w:rPr>
      </w:r>
    </w:p>
    <w:p>
      <w:pPr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NEW «ОПТИМИЗАЦИОННЫЕ» поправки.</w:t>
      </w:r>
      <w:r>
        <w:rPr>
          <w:rFonts w:ascii="Times New Roman" w:hAnsi="Times New Roman"/>
          <w:b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Изменения в Контрактной системе 2027-2028 гг.</w:t>
      </w:r>
      <w:r>
        <w:rPr>
          <w:rFonts w:ascii="Times New Roman" w:hAnsi="Times New Roman"/>
          <w:b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Изменения с 01.07.2027:</w:t>
      </w:r>
      <w:r>
        <w:rPr>
          <w:rFonts w:ascii="Times New Roman" w:hAnsi="Times New Roman"/>
          <w:b/>
          <w:spacing w:val="5"/>
          <w:sz w:val="22"/>
        </w:rPr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spacing w:val="5"/>
          <w:sz w:val="22"/>
        </w:rPr>
        <w:t xml:space="preserve">Изменения в части публикации информации о прекращении обязательств поставщика;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spacing w:val="5"/>
          <w:sz w:val="22"/>
        </w:rPr>
        <w:t xml:space="preserve">Изменения в части публикации информации о применении мер ответственности;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spacing w:val="5"/>
          <w:sz w:val="22"/>
        </w:rPr>
        <w:t xml:space="preserve">Изменения в порядке проведения запроса котировок;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Изменения с 01.02.2028:</w:t>
      </w:r>
      <w:r>
        <w:rPr>
          <w:rFonts w:ascii="Times New Roman" w:hAnsi="Times New Roman"/>
          <w:b/>
          <w:spacing w:val="5"/>
          <w:sz w:val="22"/>
        </w:rPr>
      </w:r>
    </w:p>
    <w:p>
      <w:pPr>
        <w:numPr>
          <w:ilvl w:val="0"/>
          <w:numId w:val="6"/>
        </w:numPr>
        <w:contextualSpacing/>
        <w:jc w:val="both"/>
        <w:spacing w:line="240" w:lineRule="auto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2"/>
        </w:rPr>
        <w:t xml:space="preserve">Особый порядок формирования и включения в реестр контрактов закупок на подотчетные средства;</w:t>
      </w:r>
      <w:r>
        <w:rPr>
          <w:rFonts w:ascii="Times New Roman" w:hAnsi="Times New Roman"/>
          <w:b/>
          <w:sz w:val="22"/>
        </w:rPr>
      </w:r>
    </w:p>
    <w:p>
      <w:pPr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Ожидаемые изменения: 2026 - 2028гг.:</w:t>
      </w:r>
      <w:r>
        <w:rPr>
          <w:rFonts w:ascii="Times New Roman" w:hAnsi="Times New Roman"/>
          <w:b/>
          <w:spacing w:val="5"/>
          <w:sz w:val="22"/>
        </w:rPr>
      </w:r>
    </w:p>
    <w:p>
      <w:pPr>
        <w:numPr>
          <w:ilvl w:val="0"/>
          <w:numId w:val="7"/>
        </w:numPr>
        <w:contextualSpacing/>
        <w:spacing w:after="160" w:line="259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Введение типовых условий контрактов об ответственности сторон при нарушении обязательств;</w:t>
      </w:r>
      <w:r>
        <w:rPr>
          <w:rFonts w:ascii="Times New Roman" w:hAnsi="Times New Roman"/>
          <w:sz w:val="22"/>
        </w:rPr>
      </w:r>
    </w:p>
    <w:p>
      <w:pPr>
        <w:numPr>
          <w:ilvl w:val="0"/>
          <w:numId w:val="7"/>
        </w:numPr>
        <w:contextualSpacing/>
        <w:spacing w:after="160" w:line="259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Проверка участников закупок по 44-ФЗ с помощью сервиса ФНС;</w:t>
      </w:r>
      <w:r>
        <w:rPr>
          <w:rFonts w:ascii="Times New Roman" w:hAnsi="Times New Roman"/>
          <w:sz w:val="22"/>
        </w:rPr>
      </w:r>
    </w:p>
    <w:p>
      <w:pPr>
        <w:numPr>
          <w:ilvl w:val="0"/>
          <w:numId w:val="7"/>
        </w:numPr>
        <w:contextualSpacing/>
        <w:spacing w:line="240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Новый порядок применения национального режима </w:t>
      </w:r>
      <w:r>
        <w:rPr>
          <w:rFonts w:ascii="Times New Roman" w:hAnsi="Times New Roman"/>
          <w:b/>
          <w:sz w:val="22"/>
        </w:rPr>
        <w:t xml:space="preserve">для предприятий ОПК</w:t>
      </w:r>
      <w:r>
        <w:rPr>
          <w:rFonts w:ascii="Times New Roman" w:hAnsi="Times New Roman"/>
          <w:sz w:val="22"/>
        </w:rPr>
        <w:t xml:space="preserve">;</w:t>
      </w:r>
      <w:r>
        <w:rPr>
          <w:rFonts w:ascii="Times New Roman" w:hAnsi="Times New Roman"/>
          <w:sz w:val="22"/>
        </w:rPr>
      </w:r>
    </w:p>
    <w:p>
      <w:pPr>
        <w:numPr>
          <w:ilvl w:val="0"/>
          <w:numId w:val="7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Включение в РНП поставщиков, предоставивших недостоверные сведения для оценки квалификации;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7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Проект ужесточения требований к поставщикам в части наличия материальных ресурсов, оборудования, технологий, специалистов и иных работников определенного уровня квалификации;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7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spacing w:val="5"/>
          <w:sz w:val="22"/>
        </w:rPr>
        <w:t xml:space="preserve">Цифровая смета контракта;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Реформа закупок малого объема (ЗМО) 2026-2028 гг.</w:t>
      </w:r>
      <w:r>
        <w:rPr>
          <w:rFonts w:ascii="Times New Roman" w:hAnsi="Times New Roman"/>
          <w:b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Обзор практики реализации централизованных закупок</w:t>
      </w:r>
      <w:r>
        <w:rPr>
          <w:rFonts w:ascii="Times New Roman" w:hAnsi="Times New Roman"/>
          <w:spacing w:val="5"/>
          <w:sz w:val="22"/>
        </w:rPr>
        <w:t xml:space="preserve">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«Антикризисные меры» 2026 г.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Практические советы по формированию Технических заданий.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Обзор актуальной судебной практики.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tabs>
          <w:tab w:val="left" w:pos="720" w:leader="none"/>
        </w:tabs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Вступившие в силу и ожидаемые поправки, анонс ближайших изменений законодательства.</w:t>
      </w:r>
      <w:r>
        <w:rPr>
          <w:rFonts w:ascii="Times New Roman" w:hAnsi="Times New Roman"/>
          <w:b/>
          <w:spacing w:val="5"/>
          <w:sz w:val="22"/>
        </w:rPr>
      </w:r>
    </w:p>
    <w:p>
      <w:pPr>
        <w:spacing w:line="240" w:lineRule="auto"/>
        <w:tabs>
          <w:tab w:val="left" w:pos="720" w:leader="none"/>
        </w:tabs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</w:r>
      <w:r>
        <w:rPr>
          <w:rFonts w:ascii="Times New Roman" w:hAnsi="Times New Roman"/>
          <w:b/>
          <w:spacing w:val="5"/>
          <w:sz w:val="22"/>
        </w:rPr>
      </w:r>
    </w:p>
    <w:p>
      <w:pPr>
        <w:spacing w:line="240" w:lineRule="auto"/>
        <w:tabs>
          <w:tab w:val="left" w:pos="720" w:leader="none"/>
        </w:tabs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spacing w:val="5"/>
          <w:sz w:val="22"/>
        </w:rPr>
      </w:r>
      <w:r>
        <w:rPr>
          <w:rFonts w:ascii="Times New Roman" w:hAnsi="Times New Roman"/>
          <w:spacing w:val="5"/>
          <w:sz w:val="22"/>
        </w:rPr>
      </w:r>
    </w:p>
    <w:p>
      <w:pPr>
        <w:contextualSpacing/>
        <w:ind w:left="720" w:hanging="720"/>
        <w:spacing w:after="160" w:line="259" w:lineRule="auto"/>
        <w:rPr>
          <w:rFonts w:ascii="Times New Roman" w:hAnsi="Times New Roman"/>
          <w:b/>
          <w:sz w:val="22"/>
          <w:u w:val="single"/>
        </w:rPr>
      </w:pPr>
      <w:r>
        <w:rPr>
          <w:rFonts w:ascii="Times New Roman" w:hAnsi="Times New Roman"/>
          <w:b/>
          <w:sz w:val="22"/>
          <w:u w:val="single"/>
        </w:rPr>
        <w:t xml:space="preserve">223-ФЗ</w:t>
      </w:r>
      <w:r>
        <w:rPr>
          <w:rFonts w:ascii="Times New Roman" w:hAnsi="Times New Roman"/>
          <w:b/>
          <w:sz w:val="22"/>
          <w:u w:val="single"/>
        </w:rPr>
      </w:r>
    </w:p>
    <w:p>
      <w:pPr>
        <w:numPr>
          <w:ilvl w:val="0"/>
          <w:numId w:val="8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Изменения в ЕИС в части 223-ФЗ Особенности включения данных в реестр договоров– практические рекомендации;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8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Национальный план развития конкуренции (РП РФ от 28.10.2025г. N 2816-р) и национальная модель целевых условий ведения бизнеса (РП РФ от 29.11.2025 г. № 3523-р).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Национальный режим в 2026 году: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9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Алгоритмы применения запретов, ограничений, преимуществ.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9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Изменения в национальном режиме.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10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Изменения в национальном режиме в 2027 г.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КВОТИРОВАНИЕ.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Актуальные вопросы применения национального режима: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11"/>
        </w:numPr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spacing w:val="5"/>
          <w:sz w:val="22"/>
        </w:rPr>
        <w:t xml:space="preserve">Основания неприменения запретов, ограничений. </w:t>
      </w:r>
      <w:r>
        <w:rPr>
          <w:rFonts w:ascii="Times New Roman" w:hAnsi="Times New Roman"/>
          <w:b/>
          <w:spacing w:val="5"/>
          <w:sz w:val="22"/>
        </w:rPr>
        <w:t xml:space="preserve">Обоснование невозможности соблюдения национального режима на примерах;</w:t>
      </w:r>
      <w:r>
        <w:rPr>
          <w:rFonts w:ascii="Times New Roman" w:hAnsi="Times New Roman"/>
          <w:b/>
          <w:spacing w:val="5"/>
          <w:sz w:val="22"/>
        </w:rPr>
      </w:r>
    </w:p>
    <w:p>
      <w:pPr>
        <w:numPr>
          <w:ilvl w:val="0"/>
          <w:numId w:val="11"/>
        </w:numPr>
        <w:contextualSpacing/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Особенности применения/не применения мер национального режима при закупках в рамках ГОЗ;</w:t>
      </w:r>
      <w:r>
        <w:rPr>
          <w:rFonts w:ascii="Times New Roman" w:hAnsi="Times New Roman"/>
          <w:b/>
          <w:spacing w:val="5"/>
          <w:sz w:val="22"/>
        </w:rPr>
      </w:r>
    </w:p>
    <w:p>
      <w:pPr>
        <w:numPr>
          <w:ilvl w:val="0"/>
          <w:numId w:val="11"/>
        </w:numPr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Особенности применения национального режима при закупках программно‑аппаратных комплексов (ПАК/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pacing w:val="5"/>
          <w:sz w:val="22"/>
        </w:rPr>
        <w:t xml:space="preserve">ДПАК);</w:t>
      </w:r>
      <w:r>
        <w:rPr>
          <w:rFonts w:ascii="Times New Roman" w:hAnsi="Times New Roman"/>
          <w:b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Ожидаемые изменения в порядок применения национального режима в 2026-2027гг.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Актуальные изменения, разъяснения, практика применения 223-ФЗ.</w:t>
      </w:r>
      <w:r>
        <w:rPr>
          <w:rFonts w:ascii="Times New Roman" w:hAnsi="Times New Roman"/>
          <w:b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Особенности закупок у СМСП.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Особенности договорной работы в рамках 223-ФЗ.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Особенности процедур закупок по 223-ФЗ: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12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Способы реализации предварительного квалификационного отбора</w:t>
      </w:r>
      <w:r>
        <w:rPr>
          <w:rFonts w:ascii="Times New Roman" w:hAnsi="Times New Roman"/>
          <w:spacing w:val="5"/>
          <w:sz w:val="22"/>
        </w:rPr>
        <w:t xml:space="preserve"> как инструмента защиты заказчика от недобросовестного поставщика – обзор УСПЕШНЫХ и РИСКОВАННЫХ практик, результаты проверок ФАС;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12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Алгоритмы основных способов закупок</w:t>
      </w:r>
      <w:r>
        <w:rPr>
          <w:rFonts w:ascii="Times New Roman" w:hAnsi="Times New Roman"/>
          <w:spacing w:val="5"/>
          <w:sz w:val="22"/>
        </w:rPr>
        <w:t xml:space="preserve"> – Аукцион/Конкурс/Запрос котировок/Запрос предложений.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Обоснование НМЦД.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«Дробление»</w:t>
      </w:r>
      <w:r>
        <w:rPr>
          <w:rFonts w:ascii="Times New Roman" w:hAnsi="Times New Roman"/>
          <w:b/>
          <w:spacing w:val="5"/>
          <w:sz w:val="22"/>
        </w:rPr>
        <w:t xml:space="preserve">/«</w:t>
      </w:r>
      <w:r>
        <w:rPr>
          <w:rFonts w:ascii="Times New Roman" w:hAnsi="Times New Roman"/>
          <w:b/>
          <w:spacing w:val="5"/>
          <w:sz w:val="22"/>
        </w:rPr>
        <w:t xml:space="preserve">укрупнение» закупки как нарушение.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Требования к закупочным комиссиям в части противодействия коррупции.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Практические советы по формированию Технических заданий.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13"/>
        </w:num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NEW Новый порядок</w:t>
      </w:r>
      <w:r>
        <w:rPr>
          <w:rFonts w:ascii="Times New Roman" w:hAnsi="Times New Roman"/>
          <w:spacing w:val="5"/>
          <w:sz w:val="22"/>
        </w:rPr>
        <w:t xml:space="preserve"> </w:t>
      </w:r>
      <w:r>
        <w:rPr>
          <w:rFonts w:ascii="Times New Roman" w:hAnsi="Times New Roman"/>
          <w:b/>
          <w:spacing w:val="5"/>
          <w:sz w:val="22"/>
        </w:rPr>
        <w:t xml:space="preserve">установления требования к членству в СРО</w:t>
      </w:r>
      <w:r>
        <w:rPr>
          <w:rFonts w:ascii="Times New Roman" w:hAnsi="Times New Roman"/>
          <w:spacing w:val="5"/>
          <w:sz w:val="22"/>
        </w:rPr>
        <w:t xml:space="preserve"> и порядок проверки соответствия;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Обжалование процедуры закупки.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14"/>
        </w:numPr>
        <w:jc w:val="both"/>
        <w:spacing w:line="240" w:lineRule="auto"/>
        <w:rPr>
          <w:rFonts w:ascii="Times New Roman" w:hAnsi="Times New Roman"/>
          <w:b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Функционал подачи жалоб на несоблюдение сроков оплаты в рамках 223-ФЗ. Примеры штрафов на организацию и должностных лиц за нарушение сроков оплаты;</w:t>
      </w:r>
      <w:r>
        <w:rPr>
          <w:rFonts w:ascii="Times New Roman" w:hAnsi="Times New Roman"/>
          <w:b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Практика ФАС по актуальным вопросам применения 223-ФЗ:</w:t>
      </w:r>
      <w:r>
        <w:rPr>
          <w:rFonts w:ascii="Times New Roman" w:hAnsi="Times New Roman"/>
          <w:spacing w:val="5"/>
          <w:sz w:val="22"/>
        </w:rPr>
      </w:r>
    </w:p>
    <w:p>
      <w:pPr>
        <w:numPr>
          <w:ilvl w:val="0"/>
          <w:numId w:val="15"/>
        </w:numPr>
        <w:contextualSpacing/>
        <w:jc w:val="both"/>
        <w:spacing w:line="240" w:lineRule="auto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Обзор результатов проверок ФАС в отношении положений о закупках;</w:t>
      </w:r>
      <w:r>
        <w:rPr>
          <w:rFonts w:ascii="Times New Roman" w:hAnsi="Times New Roman"/>
          <w:b/>
          <w:sz w:val="22"/>
        </w:rPr>
      </w:r>
    </w:p>
    <w:p>
      <w:pPr>
        <w:numPr>
          <w:ilvl w:val="0"/>
          <w:numId w:val="15"/>
        </w:numPr>
        <w:contextualSpacing/>
        <w:jc w:val="both"/>
        <w:spacing w:line="240" w:lineRule="auto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Обзор нарушений выявляемых в части критериев оценки заявок.;</w:t>
      </w:r>
      <w:r>
        <w:rPr>
          <w:rFonts w:ascii="Times New Roman" w:hAnsi="Times New Roman"/>
          <w:b/>
          <w:sz w:val="22"/>
        </w:rPr>
      </w:r>
    </w:p>
    <w:p>
      <w:pPr>
        <w:spacing w:line="240" w:lineRule="auto"/>
        <w:rPr>
          <w:rFonts w:ascii="Times New Roman" w:hAnsi="Times New Roman"/>
          <w:spacing w:val="5"/>
          <w:sz w:val="22"/>
        </w:rPr>
      </w:pPr>
      <w:r>
        <w:rPr>
          <w:rFonts w:ascii="Times New Roman" w:hAnsi="Times New Roman"/>
          <w:b/>
          <w:spacing w:val="5"/>
          <w:sz w:val="22"/>
        </w:rPr>
        <w:t xml:space="preserve">Судебная практика по актуальным вопросам применения 223-ФЗ.</w:t>
      </w:r>
      <w:r>
        <w:rPr>
          <w:rFonts w:ascii="Times New Roman" w:hAnsi="Times New Roman"/>
          <w:spacing w:val="5"/>
          <w:sz w:val="22"/>
        </w:rPr>
      </w:r>
    </w:p>
    <w:p>
      <w:pPr>
        <w:spacing w:line="240" w:lineRule="auto"/>
        <w:rPr>
          <w:rFonts w:ascii="Times New Roman" w:hAnsi="Times New Roman"/>
          <w:b/>
          <w:color w:val="0000ff"/>
          <w:sz w:val="10"/>
        </w:rPr>
      </w:pPr>
      <w:r>
        <w:rPr>
          <w:rFonts w:ascii="Times New Roman" w:hAnsi="Times New Roman"/>
          <w:b/>
          <w:color w:val="0000ff"/>
          <w:sz w:val="10"/>
        </w:rPr>
      </w:r>
      <w:r>
        <w:rPr>
          <w:rFonts w:ascii="Times New Roman" w:hAnsi="Times New Roman"/>
          <w:b/>
          <w:color w:val="0000ff"/>
          <w:sz w:val="10"/>
        </w:rPr>
      </w:r>
    </w:p>
    <w:p>
      <w:pPr>
        <w:pStyle w:val="791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Бабунов</w:t>
      </w:r>
      <w:r>
        <w:rPr>
          <w:rFonts w:ascii="Times New Roman" w:hAnsi="Times New Roman"/>
          <w:b/>
          <w:i/>
          <w:sz w:val="24"/>
        </w:rPr>
        <w:t xml:space="preserve"> Сергей Валерьевич</w:t>
      </w:r>
      <w:r>
        <w:rPr>
          <w:rFonts w:ascii="Times New Roman" w:hAnsi="Times New Roman"/>
          <w:i/>
          <w:sz w:val="24"/>
        </w:rPr>
        <w:t xml:space="preserve"> – лектор и руководитель учебно-методического и экспертно-консультационного центра, более 15 лет преподавательской деятельности, эксп</w:t>
      </w:r>
      <w:r>
        <w:rPr>
          <w:rFonts w:ascii="Times New Roman" w:hAnsi="Times New Roman"/>
          <w:i/>
          <w:sz w:val="24"/>
        </w:rPr>
        <w:t xml:space="preserve">ерт-практик с опытом работы Главным государственным инспектором в Управлении контроля размещения государственного заказа Центрального аппарата ФАС России, автор статей специализированных изданий, более 20 лет практики по организации и сопровождению торгов.</w:t>
      </w:r>
      <w:r>
        <w:rPr>
          <w:rFonts w:ascii="Times New Roman" w:hAnsi="Times New Roman"/>
          <w:i/>
          <w:sz w:val="24"/>
        </w:rPr>
      </w:r>
    </w:p>
    <w:p>
      <w:pPr>
        <w:pStyle w:val="791"/>
        <w:rPr>
          <w:rFonts w:ascii="Times New Roman" w:hAnsi="Times New Roman"/>
          <w:i/>
          <w:color w:val="0000ff"/>
          <w:sz w:val="24"/>
        </w:rPr>
      </w:pPr>
      <w:r>
        <w:rPr>
          <w:rFonts w:ascii="Times New Roman" w:hAnsi="Times New Roman"/>
          <w:i/>
          <w:color w:val="0000ff"/>
          <w:sz w:val="24"/>
        </w:rPr>
      </w:r>
      <w:r>
        <w:rPr>
          <w:rFonts w:ascii="Times New Roman" w:hAnsi="Times New Roman"/>
          <w:i/>
          <w:color w:val="0000ff"/>
          <w:sz w:val="24"/>
        </w:rPr>
      </w:r>
    </w:p>
    <w:p>
      <w:pPr>
        <w:spacing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* Организаторы оставляют за собой право вносить изменения в программу</w:t>
      </w:r>
      <w:r>
        <w:rPr>
          <w:rFonts w:ascii="Times New Roman" w:hAnsi="Times New Roman"/>
          <w:i/>
        </w:rPr>
      </w:r>
    </w:p>
    <w:p>
      <w:pPr>
        <w:pStyle w:val="791"/>
        <w:rPr>
          <w:rFonts w:ascii="Times New Roman" w:hAnsi="Times New Roman"/>
          <w:i/>
          <w:color w:val="ff0000"/>
          <w:sz w:val="24"/>
        </w:rPr>
      </w:pPr>
      <w:r>
        <w:rPr>
          <w:rFonts w:ascii="Times New Roman" w:hAnsi="Times New Roman"/>
          <w:i/>
          <w:color w:val="ff0000"/>
          <w:sz w:val="24"/>
        </w:rPr>
      </w:r>
      <w:r>
        <w:rPr>
          <w:rFonts w:ascii="Times New Roman" w:hAnsi="Times New Roman"/>
          <w:i/>
          <w:color w:val="ff0000"/>
          <w:sz w:val="24"/>
        </w:rPr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8"/>
        <w:gridCol w:w="8142"/>
      </w:tblGrid>
      <w:tr>
        <w:tblPrEx/>
        <w:trPr>
          <w:trHeight w:val="21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388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Место проведения: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142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г. Москва, Гостиница Измайлово-Вега, 3 этаж, зал «Измайловский парк»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м. Партизанская, Измайловское шоссе, 71. 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spacing w:line="240" w:lineRule="auto"/>
              <w:widowControl w:val="off"/>
              <w:rPr>
                <w:rFonts w:ascii="Times New Roman" w:hAnsi="Times New Roman"/>
                <w:color w:val="ff0000"/>
                <w:sz w:val="24"/>
                <w:highlight w:val="white"/>
              </w:rPr>
            </w:pPr>
            <w:r>
              <w:rPr>
                <w:rFonts w:ascii="Times New Roman" w:hAnsi="Times New Roman"/>
                <w:color w:val="ff0000"/>
                <w:sz w:val="24"/>
                <w:highlight w:val="white"/>
              </w:rPr>
            </w:r>
            <w:r>
              <w:rPr>
                <w:rFonts w:ascii="Times New Roman" w:hAnsi="Times New Roman"/>
                <w:color w:val="ff0000"/>
                <w:sz w:val="24"/>
                <w:highlight w:val="white"/>
              </w:rPr>
            </w:r>
          </w:p>
          <w:p>
            <w:pPr>
              <w:spacing w:line="240" w:lineRule="auto"/>
              <w:rPr>
                <w:rFonts w:ascii="Times New Roman" w:hAnsi="Times New Roman"/>
                <w:color w:val="333333"/>
                <w:sz w:val="23"/>
              </w:rPr>
            </w:pPr>
            <w:r>
              <w:rPr>
                <w:rFonts w:ascii="Times New Roman" w:hAnsi="Times New Roman"/>
                <w:color w:val="333333"/>
                <w:sz w:val="23"/>
              </w:rPr>
              <w:t xml:space="preserve">Для участников курса в отеле «Вега Измайлово» в период с 23 ноября по 28 ноября 2026 г. предусмотрен специальный тариф при бронировании</w:t>
            </w:r>
            <w:r>
              <w:rPr>
                <w:rFonts w:ascii="Times New Roman" w:hAnsi="Times New Roman"/>
                <w:color w:val="333333"/>
                <w:sz w:val="23"/>
              </w:rPr>
              <w:br/>
              <w:t xml:space="preserve">проживания на сайте отеля «Вега Измайлово» </w:t>
            </w:r>
            <w:hyperlink r:id="rId11" w:tooltip="https://www.hotel-vega.ru/booking/" w:history="1">
              <w:r>
                <w:rPr>
                  <w:rFonts w:ascii="Times New Roman" w:hAnsi="Times New Roman"/>
                  <w:b/>
                  <w:color w:val="2067b0"/>
                  <w:sz w:val="23"/>
                </w:rPr>
                <w:t xml:space="preserve">https://www.hotel-vega.ru/booking/</w:t>
              </w:r>
            </w:hyperlink>
            <w:r>
              <w:rPr>
                <w:rFonts w:ascii="Times New Roman" w:hAnsi="Times New Roman"/>
                <w:b/>
                <w:color w:val="333333"/>
                <w:sz w:val="23"/>
              </w:rPr>
              <w:t xml:space="preserve"> по кодовому слову — Бюджет</w:t>
            </w:r>
            <w:r>
              <w:rPr>
                <w:rFonts w:ascii="Times New Roman" w:hAnsi="Times New Roman"/>
                <w:color w:val="333333"/>
                <w:sz w:val="23"/>
              </w:rPr>
              <w:t xml:space="preserve">.</w:t>
            </w:r>
            <w:r>
              <w:rPr>
                <w:rFonts w:ascii="Times New Roman" w:hAnsi="Times New Roman"/>
                <w:color w:val="333333"/>
                <w:sz w:val="23"/>
              </w:rPr>
              <w:br/>
              <w:t xml:space="preserve">Для бронирования номера по </w:t>
            </w:r>
            <w:r>
              <w:rPr>
                <w:rFonts w:ascii="Times New Roman" w:hAnsi="Times New Roman"/>
                <w:color w:val="333333"/>
                <w:sz w:val="23"/>
              </w:rPr>
              <w:t xml:space="preserve">промокоду</w:t>
            </w:r>
            <w:r>
              <w:rPr>
                <w:rFonts w:ascii="Times New Roman" w:hAnsi="Times New Roman"/>
                <w:color w:val="333333"/>
                <w:sz w:val="23"/>
              </w:rPr>
              <w:t xml:space="preserve"> через сайт необходимо:</w:t>
            </w:r>
            <w:r>
              <w:rPr>
                <w:rFonts w:ascii="Times New Roman" w:hAnsi="Times New Roman"/>
                <w:color w:val="333333"/>
                <w:sz w:val="23"/>
              </w:rPr>
              <w:br/>
              <w:t xml:space="preserve">1. Перейти на сайт отеля: </w:t>
            </w:r>
            <w:hyperlink r:id="rId12" w:tooltip="https://www.hotel-vega.ru/booking/" w:history="1">
              <w:r>
                <w:rPr>
                  <w:rFonts w:ascii="Times New Roman" w:hAnsi="Times New Roman"/>
                  <w:color w:val="2067b0"/>
                  <w:sz w:val="23"/>
                </w:rPr>
                <w:t xml:space="preserve">https://www.hotel-vega.ru/booking/</w:t>
              </w:r>
            </w:hyperlink>
            <w:r>
              <w:rPr>
                <w:rFonts w:ascii="Times New Roman" w:hAnsi="Times New Roman"/>
                <w:color w:val="333333"/>
                <w:sz w:val="23"/>
              </w:rPr>
              <w:br/>
              <w:t xml:space="preserve">2. Ввести необходимые сроки проживания.</w:t>
            </w:r>
            <w:r>
              <w:rPr>
                <w:rFonts w:ascii="Times New Roman" w:hAnsi="Times New Roman"/>
                <w:color w:val="333333"/>
                <w:sz w:val="23"/>
              </w:rPr>
              <w:br/>
              <w:t xml:space="preserve">3. В поле «У меня есть </w:t>
            </w:r>
            <w:r>
              <w:rPr>
                <w:rFonts w:ascii="Times New Roman" w:hAnsi="Times New Roman"/>
                <w:color w:val="333333"/>
                <w:sz w:val="23"/>
              </w:rPr>
              <w:t xml:space="preserve">промокод</w:t>
            </w:r>
            <w:r>
              <w:rPr>
                <w:rFonts w:ascii="Times New Roman" w:hAnsi="Times New Roman"/>
                <w:color w:val="333333"/>
                <w:sz w:val="23"/>
              </w:rPr>
              <w:t xml:space="preserve">» ввести кодовое слово и нажать "Найти".</w:t>
            </w:r>
            <w:r>
              <w:rPr>
                <w:rFonts w:ascii="Times New Roman" w:hAnsi="Times New Roman"/>
                <w:color w:val="333333"/>
                <w:sz w:val="23"/>
              </w:rPr>
              <w:br/>
              <w:t xml:space="preserve">4. Далее выбрать категорию номера с Вашей специальной скидкой.</w:t>
            </w:r>
            <w:r>
              <w:rPr>
                <w:rFonts w:ascii="Times New Roman" w:hAnsi="Times New Roman"/>
                <w:color w:val="333333"/>
                <w:sz w:val="23"/>
              </w:rPr>
              <w:br/>
              <w:t xml:space="preserve">5. Выбрать дополнительные опции: питание.</w:t>
            </w:r>
            <w:r>
              <w:rPr>
                <w:rFonts w:ascii="Times New Roman" w:hAnsi="Times New Roman"/>
                <w:color w:val="333333"/>
                <w:sz w:val="23"/>
              </w:rPr>
              <w:br/>
              <w:t xml:space="preserve">6. Заполнить поля с персональными данными.</w:t>
            </w:r>
            <w:r>
              <w:rPr>
                <w:rFonts w:ascii="Times New Roman" w:hAnsi="Times New Roman"/>
                <w:color w:val="333333"/>
                <w:sz w:val="23"/>
              </w:rPr>
              <w:br/>
              <w:t xml:space="preserve">7. Выбрать способ оплаты</w:t>
            </w:r>
            <w:r>
              <w:rPr>
                <w:rFonts w:ascii="Times New Roman" w:hAnsi="Times New Roman"/>
                <w:color w:val="333333"/>
                <w:sz w:val="23"/>
              </w:rPr>
              <w:br/>
              <w:t xml:space="preserve">8. Подтверждение бронирования и условия отмены бронирования приходят на указанный e-</w:t>
            </w:r>
            <w:r>
              <w:rPr>
                <w:rFonts w:ascii="Times New Roman" w:hAnsi="Times New Roman"/>
                <w:color w:val="333333"/>
                <w:sz w:val="23"/>
              </w:rPr>
              <w:t xml:space="preserve">mail</w:t>
            </w:r>
            <w:r>
              <w:rPr>
                <w:rFonts w:ascii="Times New Roman" w:hAnsi="Times New Roman"/>
                <w:color w:val="333333"/>
                <w:sz w:val="23"/>
              </w:rPr>
              <w:t xml:space="preserve">.</w:t>
            </w:r>
            <w:r>
              <w:rPr>
                <w:rFonts w:ascii="Times New Roman" w:hAnsi="Times New Roman"/>
                <w:color w:val="333333"/>
                <w:sz w:val="23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388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Стоимость участия: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142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Стоимость участия </w:t>
            </w:r>
            <w:r>
              <w:rPr>
                <w:rFonts w:ascii="Times New Roman" w:hAnsi="Times New Roman"/>
                <w:b/>
                <w:sz w:val="24"/>
              </w:rPr>
              <w:t xml:space="preserve">в 3-хдневном семинаре</w:t>
            </w:r>
            <w:r>
              <w:rPr>
                <w:rFonts w:ascii="Times New Roman" w:hAnsi="Times New Roman"/>
                <w:sz w:val="24"/>
              </w:rPr>
              <w:t xml:space="preserve"> 24-26 ноября - </w:t>
            </w:r>
            <w:r>
              <w:rPr>
                <w:rFonts w:ascii="Times New Roman" w:hAnsi="Times New Roman"/>
                <w:b/>
                <w:sz w:val="24"/>
              </w:rPr>
              <w:t xml:space="preserve">42 050 руб</w:t>
            </w:r>
            <w:r>
              <w:rPr>
                <w:rFonts w:ascii="Times New Roman" w:hAnsi="Times New Roman"/>
                <w:sz w:val="24"/>
              </w:rPr>
              <w:t xml:space="preserve">. за 1 слушателя (том </w:t>
            </w:r>
            <w:r>
              <w:rPr>
                <w:rFonts w:ascii="Times New Roman" w:hAnsi="Times New Roman"/>
                <w:sz w:val="24"/>
              </w:rPr>
              <w:t xml:space="preserve">числе  НДС</w:t>
            </w:r>
            <w:r>
              <w:rPr>
                <w:rFonts w:ascii="Times New Roman" w:hAnsi="Times New Roman"/>
                <w:sz w:val="24"/>
              </w:rPr>
              <w:t xml:space="preserve"> 5%). Участник получает удостоверение о повышении квалификации 24 часа.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Стоимость участия </w:t>
            </w:r>
            <w:r>
              <w:rPr>
                <w:rFonts w:ascii="Times New Roman" w:hAnsi="Times New Roman"/>
                <w:b/>
                <w:sz w:val="24"/>
              </w:rPr>
              <w:t xml:space="preserve">в 4-хдневном семинаре</w:t>
            </w:r>
            <w:r>
              <w:rPr>
                <w:rFonts w:ascii="Times New Roman" w:hAnsi="Times New Roman"/>
                <w:sz w:val="24"/>
              </w:rPr>
              <w:t xml:space="preserve"> 24-27 ноября – </w:t>
            </w:r>
            <w:r>
              <w:rPr>
                <w:rFonts w:ascii="Times New Roman" w:hAnsi="Times New Roman"/>
                <w:b/>
                <w:sz w:val="24"/>
              </w:rPr>
              <w:t xml:space="preserve">46 500 руб</w:t>
            </w:r>
            <w:r>
              <w:rPr>
                <w:rFonts w:ascii="Times New Roman" w:hAnsi="Times New Roman"/>
                <w:sz w:val="24"/>
              </w:rPr>
              <w:t xml:space="preserve">.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за 1 слушателя (в том числе НДС 5%). Участник получает удостоверение о повышении квалификации 32 часа.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388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Что входит в пакет участника: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142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Все презентации и методологические материалы докладчиков, возможность заранее прислать вопросы для докладчиков, питание, удостоверение о повышении квалификации.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388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Документы, необходимые для отправки данных в реестр ФИС ФРДО: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142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заявление участника о зачислении на курсы повышения квалификации;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согласие на обработку персональных данных;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копии паспорта (1 страница, прописка), диплома, свидетельства о браке (при смене фамилии), </w:t>
            </w:r>
            <w:r>
              <w:rPr>
                <w:rFonts w:ascii="Times New Roman" w:hAnsi="Times New Roman"/>
                <w:sz w:val="24"/>
              </w:rPr>
              <w:t xml:space="preserve">СНИЛСа</w:t>
            </w:r>
            <w:r>
              <w:rPr>
                <w:rFonts w:ascii="Times New Roman" w:hAnsi="Times New Roman"/>
                <w:sz w:val="24"/>
              </w:rPr>
              <w:t xml:space="preserve">;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договор;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заполненные тесты.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Эти документы вы можете загрузить в электронном виде по ссылке: </w:t>
            </w:r>
            <w:hyperlink r:id="rId13" w:tooltip="https://budget-edu.ru/pers/" w:history="1">
              <w:r>
                <w:rPr>
                  <w:rStyle w:val="756"/>
                  <w:rFonts w:ascii="Times New Roman" w:hAnsi="Times New Roman"/>
                  <w:sz w:val="24"/>
                </w:rPr>
                <w:t xml:space="preserve">https://budget-edu.ru/pers/</w:t>
              </w:r>
            </w:hyperlink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spacing w:line="240" w:lineRule="auto"/>
              <w:widowControl w:val="off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Данные о повышении квалификации передаются в реестр ФИС ФРДО.</w:t>
            </w:r>
            <w:r>
              <w:rPr>
                <w:rFonts w:ascii="Times New Roman" w:hAnsi="Times New Roman"/>
                <w:b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388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Организатор: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142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 xml:space="preserve">ЧУ ДПО «Учебный центр «Бюджет» (лицензия Департамента образования города Москвы № 037363 от 11.04.2016)</w:t>
            </w:r>
            <w:r>
              <w:rPr>
                <w:rFonts w:ascii="Times New Roman" w:hAnsi="Times New Roman"/>
                <w:sz w:val="24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388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Контакты: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14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/>
                <w:color w:val="0070c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Для участия в семинаре необходимо заполнить </w:t>
            </w:r>
            <w:r>
              <w:rPr>
                <w:rFonts w:ascii="Times New Roman" w:hAnsi="Times New Roman"/>
                <w:b/>
                <w:sz w:val="24"/>
                <w:u w:val="single"/>
              </w:rPr>
              <w:t xml:space="preserve">регистрационную форму</w:t>
            </w:r>
            <w:hyperlink r:id="rId14" w:tooltip="http://budget-edu.ru/calendar/358658/" w:history="1">
              <w:r>
                <w:rPr>
                  <w:rFonts w:ascii="Times New Roman" w:hAnsi="Times New Roman"/>
                  <w:color w:val="337ab7"/>
                  <w:sz w:val="24"/>
                </w:rPr>
                <w:t xml:space="preserve"> </w:t>
              </w:r>
            </w:hyperlink>
            <w:r>
              <w:rPr>
                <w:rFonts w:ascii="Times New Roman" w:hAnsi="Times New Roman"/>
                <w:sz w:val="24"/>
              </w:rPr>
              <w:t xml:space="preserve">на сайте </w:t>
            </w:r>
            <w:hyperlink r:id="rId15" w:tooltip="http://budget-edu.ru/" w:history="1">
              <w:r>
                <w:rPr>
                  <w:rFonts w:ascii="Times New Roman" w:hAnsi="Times New Roman"/>
                  <w:color w:val="0000ff"/>
                  <w:sz w:val="24"/>
                  <w:u w:val="single"/>
                </w:rPr>
                <w:t xml:space="preserve">http://budget-edu.ru/</w:t>
              </w:r>
            </w:hyperlink>
            <w:r>
              <w:rPr>
                <w:rFonts w:ascii="Times New Roman" w:hAnsi="Times New Roman"/>
                <w:color w:val="0070c0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70c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70c0"/>
                <w:sz w:val="24"/>
              </w:rPr>
            </w:r>
          </w:p>
          <w:p>
            <w:pPr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 всем вопросам, связанным с участием в семинаре, обращаться 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+7-495-632-23-22, доб. 144 </w:t>
            </w:r>
            <w:r>
              <w:rPr>
                <w:rFonts w:ascii="Times New Roman" w:hAnsi="Times New Roman"/>
                <w:sz w:val="24"/>
              </w:rPr>
              <w:t xml:space="preserve">Юдахина</w:t>
            </w:r>
            <w:r>
              <w:rPr>
                <w:rFonts w:ascii="Times New Roman" w:hAnsi="Times New Roman"/>
                <w:sz w:val="24"/>
              </w:rPr>
              <w:t xml:space="preserve"> Екатерина, </w:t>
            </w:r>
            <w:hyperlink r:id="rId16" w:tooltip="mailto:yudahina.em@bujet.ru" w:history="1">
              <w:r>
                <w:rPr>
                  <w:rStyle w:val="756"/>
                  <w:rFonts w:ascii="Times New Roman" w:hAnsi="Times New Roman"/>
                  <w:sz w:val="24"/>
                </w:rPr>
                <w:t xml:space="preserve">yudahina.em@bujet.ru</w:t>
              </w:r>
            </w:hyperlink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+7-495-632-23-22, доб. 316 Антипова Елена, </w:t>
            </w:r>
            <w:hyperlink r:id="rId17" w:tooltip="mailto:antipova.ea@bujet.ru" w:history="1">
              <w:r>
                <w:rPr>
                  <w:rStyle w:val="756"/>
                  <w:rFonts w:ascii="Times New Roman" w:hAnsi="Times New Roman"/>
                  <w:sz w:val="24"/>
                </w:rPr>
                <w:t xml:space="preserve">antipova.ea@bujet.ru</w:t>
              </w:r>
            </w:hyperlink>
            <w:r/>
            <w:r>
              <w:rPr>
                <w:rFonts w:ascii="Times New Roman" w:hAnsi="Times New Roman"/>
                <w:sz w:val="24"/>
              </w:rPr>
            </w:r>
          </w:p>
        </w:tc>
      </w:tr>
    </w:tbl>
    <w:p>
      <w:p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sectPr>
      <w:footnotePr/>
      <w:endnotePr/>
      <w:type w:val="nextPage"/>
      <w:pgSz w:w="11906" w:h="16838" w:orient="portrait"/>
      <w:pgMar w:top="425" w:right="851" w:bottom="737" w:left="765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Symbol">
    <w:panose1 w:val="05010000000000000000"/>
  </w:font>
  <w:font w:name="Times New Roman">
    <w:panose1 w:val="02020603050405020304"/>
  </w:font>
  <w:font w:name="Wingdings 2">
    <w:panose1 w:val="05040102010807070707"/>
  </w:font>
  <w:font w:name="Wingdings">
    <w:panose1 w:val="05010000000000000000"/>
  </w:font>
  <w:font w:name="OpenSymbol">
    <w:panose1 w:val="05010000000000000000"/>
  </w:font>
  <w:font w:name="Courier New">
    <w:panose1 w:val="02070309020205020404"/>
  </w:font>
  <w:font w:name="Calibri">
    <w:panose1 w:val="020F0502020204030204"/>
  </w:font>
  <w:font w:name="XO Thames">
    <w:panose1 w:val="02000603000000000000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widowControl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widowControl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widowControl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widowControl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widowControl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widowControl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  <w:widowControl/>
      </w:pPr>
      <w:rPr>
        <w:rFonts w:ascii="Times New Roman" w:hAnsi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widowControl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widowControl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widowControl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widowControl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widowControl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widowControl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widowControl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widowControl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widowControl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widowControl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widowControl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widowControl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widowControl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widowControl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widowControl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widowControl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widowControl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widowControl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widowControl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widowControl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widowControl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widowControl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widowControl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widowControl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widowControl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widowControl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widowControl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widowControl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widowControl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widowControl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widowControl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widowControl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widowControl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widowControl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pStyle w:val="735"/>
      <w:isLgl w:val="false"/>
      <w:suff w:val="tab"/>
      <w:lvlText w:val=""/>
      <w:lvlJc w:val="left"/>
      <w:pPr>
        <w:ind w:left="1068" w:hanging="708"/>
        <w:widowControl/>
      </w:pPr>
      <w:rPr>
        <w:rFonts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widowControl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widowControl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widowControl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widowControl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widowControl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widowControl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widowControl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widowControl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widowControl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widowControl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widowControl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widowControl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widowControl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widowControl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widowControl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widowControl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widowControl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widowControl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widowControl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widowControl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widowControl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widowControl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widowControl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widowControl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widowControl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widowControl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widowControl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widowControl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widowControl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widowControl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widowControl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widowControl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widowControl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widowControl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widowControl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widowControl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widowControl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widowControl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widowControl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widowControl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widowControl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widowControl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widowControl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widowControl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widowControl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widowControl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widowControl/>
        <w:tabs>
          <w:tab w:val="left" w:pos="6480" w:leader="none"/>
        </w:tabs>
      </w:pPr>
      <w:rPr>
        <w:rFonts w:ascii="Wingdings" w:hAnsi="Wingdings"/>
        <w:sz w:val="20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1"/>
  </w:num>
  <w:num w:numId="9">
    <w:abstractNumId w:val="13"/>
  </w:num>
  <w:num w:numId="10">
    <w:abstractNumId w:val="14"/>
  </w:num>
  <w:num w:numId="11">
    <w:abstractNumId w:val="7"/>
  </w:num>
  <w:num w:numId="12">
    <w:abstractNumId w:val="15"/>
  </w:num>
  <w:num w:numId="13">
    <w:abstractNumId w:val="0"/>
  </w:num>
  <w:num w:numId="14">
    <w:abstractNumId w:val="12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55"/>
    <w:link w:val="650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55"/>
    <w:link w:val="651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55"/>
    <w:link w:val="652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55"/>
    <w:link w:val="653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55"/>
    <w:link w:val="654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49"/>
    <w:next w:val="64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5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49"/>
    <w:next w:val="64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5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49"/>
    <w:next w:val="64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5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49"/>
    <w:next w:val="64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55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55"/>
    <w:link w:val="813"/>
    <w:uiPriority w:val="10"/>
    <w:rPr>
      <w:sz w:val="48"/>
      <w:szCs w:val="48"/>
    </w:rPr>
  </w:style>
  <w:style w:type="character" w:styleId="37">
    <w:name w:val="Subtitle Char"/>
    <w:basedOn w:val="655"/>
    <w:link w:val="807"/>
    <w:uiPriority w:val="11"/>
    <w:rPr>
      <w:sz w:val="24"/>
      <w:szCs w:val="24"/>
    </w:rPr>
  </w:style>
  <w:style w:type="paragraph" w:styleId="38">
    <w:name w:val="Quote"/>
    <w:basedOn w:val="649"/>
    <w:next w:val="64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49"/>
    <w:next w:val="64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4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55"/>
    <w:link w:val="42"/>
    <w:uiPriority w:val="99"/>
  </w:style>
  <w:style w:type="paragraph" w:styleId="44">
    <w:name w:val="Footer"/>
    <w:basedOn w:val="649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55"/>
    <w:link w:val="44"/>
    <w:uiPriority w:val="99"/>
  </w:style>
  <w:style w:type="paragraph" w:styleId="46">
    <w:name w:val="Caption"/>
    <w:basedOn w:val="649"/>
    <w:next w:val="649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55"/>
    <w:link w:val="46"/>
    <w:uiPriority w:val="35"/>
    <w:rPr>
      <w:b/>
      <w:bCs/>
      <w:color w:val="4f81bd" w:themeColor="accent1"/>
      <w:sz w:val="18"/>
      <w:szCs w:val="18"/>
    </w:rPr>
  </w:style>
  <w:style w:type="table" w:styleId="49">
    <w:name w:val="Table Grid Light"/>
    <w:basedOn w:val="6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5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4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55"/>
    <w:uiPriority w:val="99"/>
    <w:unhideWhenUsed/>
    <w:rPr>
      <w:vertAlign w:val="superscript"/>
    </w:rPr>
  </w:style>
  <w:style w:type="paragraph" w:styleId="178">
    <w:name w:val="endnote text"/>
    <w:basedOn w:val="64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55"/>
    <w:uiPriority w:val="99"/>
    <w:semiHidden/>
    <w:unhideWhenUsed/>
    <w:rPr>
      <w:vertAlign w:val="superscript"/>
    </w:rPr>
  </w:style>
  <w:style w:type="paragraph" w:styleId="190">
    <w:name w:val="TOC Heading"/>
    <w:uiPriority w:val="39"/>
    <w:unhideWhenUsed/>
  </w:style>
  <w:style w:type="paragraph" w:styleId="191">
    <w:name w:val="table of figures"/>
    <w:basedOn w:val="649"/>
    <w:next w:val="649"/>
    <w:uiPriority w:val="99"/>
    <w:unhideWhenUsed/>
    <w:pPr>
      <w:spacing w:after="0" w:afterAutospacing="0"/>
    </w:pPr>
  </w:style>
  <w:style w:type="paragraph" w:styleId="649" w:default="1">
    <w:name w:val="Normal"/>
    <w:link w:val="658"/>
    <w:qFormat/>
    <w:pPr>
      <w:spacing w:line="276" w:lineRule="auto"/>
    </w:pPr>
    <w:rPr>
      <w:rFonts w:ascii="Arial" w:hAnsi="Arial"/>
    </w:rPr>
  </w:style>
  <w:style w:type="paragraph" w:styleId="650">
    <w:name w:val="Heading 1"/>
    <w:basedOn w:val="649"/>
    <w:next w:val="739"/>
    <w:link w:val="750"/>
    <w:uiPriority w:val="9"/>
    <w:qFormat/>
    <w:pPr>
      <w:spacing w:before="120" w:after="120" w:line="240" w:lineRule="auto"/>
      <w:outlineLvl w:val="0"/>
    </w:pPr>
    <w:rPr>
      <w:sz w:val="36"/>
    </w:rPr>
  </w:style>
  <w:style w:type="paragraph" w:styleId="651">
    <w:name w:val="Heading 2"/>
    <w:basedOn w:val="649"/>
    <w:next w:val="739"/>
    <w:link w:val="816"/>
    <w:uiPriority w:val="9"/>
    <w:qFormat/>
    <w:pPr>
      <w:spacing w:before="120" w:line="240" w:lineRule="auto"/>
      <w:outlineLvl w:val="1"/>
    </w:pPr>
    <w:rPr>
      <w:sz w:val="28"/>
    </w:rPr>
  </w:style>
  <w:style w:type="paragraph" w:styleId="652">
    <w:name w:val="Heading 3"/>
    <w:next w:val="649"/>
    <w:link w:val="696"/>
    <w:uiPriority w:val="9"/>
    <w:qFormat/>
    <w:pPr>
      <w:jc w:val="both"/>
      <w:spacing w:before="120" w:after="120"/>
      <w:outlineLvl w:val="2"/>
    </w:pPr>
    <w:rPr>
      <w:rFonts w:ascii="XO Thames" w:hAnsi="XO Thames"/>
      <w:b/>
      <w:sz w:val="26"/>
    </w:rPr>
  </w:style>
  <w:style w:type="paragraph" w:styleId="653">
    <w:name w:val="Heading 4"/>
    <w:next w:val="649"/>
    <w:link w:val="815"/>
    <w:uiPriority w:val="9"/>
    <w:qFormat/>
    <w:pPr>
      <w:jc w:val="both"/>
      <w:spacing w:before="120" w:after="120"/>
      <w:outlineLvl w:val="3"/>
    </w:pPr>
    <w:rPr>
      <w:rFonts w:ascii="XO Thames" w:hAnsi="XO Thames"/>
      <w:b/>
      <w:sz w:val="24"/>
    </w:rPr>
  </w:style>
  <w:style w:type="paragraph" w:styleId="654">
    <w:name w:val="Heading 5"/>
    <w:next w:val="649"/>
    <w:link w:val="747"/>
    <w:uiPriority w:val="9"/>
    <w:qFormat/>
    <w:pPr>
      <w:jc w:val="both"/>
      <w:spacing w:before="120" w:after="120"/>
      <w:outlineLvl w:val="4"/>
    </w:pPr>
    <w:rPr>
      <w:rFonts w:ascii="XO Thames" w:hAnsi="XO Thames"/>
      <w:b/>
      <w:sz w:val="22"/>
    </w:rPr>
  </w:style>
  <w:style w:type="character" w:styleId="655" w:default="1">
    <w:name w:val="Default Paragraph Font"/>
    <w:uiPriority w:val="1"/>
    <w:semiHidden/>
    <w:unhideWhenUsed/>
  </w:style>
  <w:style w:type="table" w:styleId="65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7" w:default="1">
    <w:name w:val="No List"/>
    <w:uiPriority w:val="99"/>
    <w:semiHidden/>
    <w:unhideWhenUsed/>
  </w:style>
  <w:style w:type="character" w:styleId="658" w:customStyle="1">
    <w:name w:val="Обычный1"/>
    <w:rPr>
      <w:rFonts w:ascii="Arial" w:hAnsi="Arial"/>
    </w:rPr>
  </w:style>
  <w:style w:type="paragraph" w:styleId="659" w:customStyle="1">
    <w:name w:val="Основной шрифт абзаца1"/>
  </w:style>
  <w:style w:type="paragraph" w:styleId="660">
    <w:name w:val="toc 2"/>
    <w:basedOn w:val="649"/>
    <w:next w:val="649"/>
    <w:link w:val="661"/>
    <w:uiPriority w:val="39"/>
    <w:pPr>
      <w:ind w:left="220"/>
      <w:spacing w:after="100" w:line="259" w:lineRule="auto"/>
    </w:pPr>
    <w:rPr>
      <w:rFonts w:ascii="Calibri" w:hAnsi="Calibri"/>
      <w:sz w:val="22"/>
    </w:rPr>
  </w:style>
  <w:style w:type="character" w:styleId="661" w:customStyle="1">
    <w:name w:val="Оглавление 2 Знак"/>
    <w:basedOn w:val="658"/>
    <w:link w:val="660"/>
    <w:rPr>
      <w:rFonts w:ascii="Calibri" w:hAnsi="Calibri"/>
      <w:sz w:val="22"/>
    </w:rPr>
  </w:style>
  <w:style w:type="paragraph" w:styleId="662" w:customStyle="1">
    <w:name w:val="WW-Absatz-Standardschriftart111111111111111111111111111111111111"/>
    <w:link w:val="663"/>
  </w:style>
  <w:style w:type="character" w:styleId="663" w:customStyle="1">
    <w:name w:val="WW-Absatz-Standardschriftart111111111111111111111111111111111111"/>
    <w:link w:val="662"/>
  </w:style>
  <w:style w:type="paragraph" w:styleId="664" w:customStyle="1">
    <w:name w:val="WW-Absatz-Standardschriftart1111"/>
    <w:link w:val="665"/>
  </w:style>
  <w:style w:type="character" w:styleId="665" w:customStyle="1">
    <w:name w:val="WW-Absatz-Standardschriftart1111"/>
    <w:link w:val="664"/>
  </w:style>
  <w:style w:type="paragraph" w:styleId="666">
    <w:name w:val="toc 4"/>
    <w:next w:val="649"/>
    <w:link w:val="667"/>
    <w:uiPriority w:val="39"/>
    <w:pPr>
      <w:ind w:left="600"/>
    </w:pPr>
    <w:rPr>
      <w:rFonts w:ascii="XO Thames" w:hAnsi="XO Thames"/>
      <w:sz w:val="28"/>
    </w:rPr>
  </w:style>
  <w:style w:type="character" w:styleId="667" w:customStyle="1">
    <w:name w:val="Оглавление 4 Знак"/>
    <w:link w:val="666"/>
    <w:rPr>
      <w:rFonts w:ascii="XO Thames" w:hAnsi="XO Thames"/>
      <w:sz w:val="28"/>
    </w:rPr>
  </w:style>
  <w:style w:type="paragraph" w:styleId="668" w:customStyle="1">
    <w:name w:val="WW-Absatz-Standardschriftart11111111111111111111111111111111111"/>
    <w:link w:val="669"/>
  </w:style>
  <w:style w:type="character" w:styleId="669" w:customStyle="1">
    <w:name w:val="WW-Absatz-Standardschriftart11111111111111111111111111111111111"/>
    <w:link w:val="668"/>
  </w:style>
  <w:style w:type="paragraph" w:styleId="670" w:customStyle="1">
    <w:name w:val="Основной шрифт абзаца1"/>
    <w:link w:val="671"/>
  </w:style>
  <w:style w:type="character" w:styleId="671" w:customStyle="1">
    <w:name w:val="Основной шрифт абзаца1"/>
    <w:link w:val="670"/>
  </w:style>
  <w:style w:type="paragraph" w:styleId="672" w:customStyle="1">
    <w:name w:val="WW8Num3z1"/>
    <w:link w:val="673"/>
    <w:rPr>
      <w:rFonts w:ascii="Courier New" w:hAnsi="Courier New"/>
    </w:rPr>
  </w:style>
  <w:style w:type="character" w:styleId="673" w:customStyle="1">
    <w:name w:val="WW8Num3z1"/>
    <w:link w:val="672"/>
    <w:rPr>
      <w:rFonts w:ascii="Courier New" w:hAnsi="Courier New"/>
    </w:rPr>
  </w:style>
  <w:style w:type="paragraph" w:styleId="674" w:customStyle="1">
    <w:name w:val="WW8Num3z2"/>
    <w:link w:val="675"/>
    <w:rPr>
      <w:rFonts w:ascii="Wingdings" w:hAnsi="Wingdings"/>
    </w:rPr>
  </w:style>
  <w:style w:type="character" w:styleId="675" w:customStyle="1">
    <w:name w:val="WW8Num3z2"/>
    <w:link w:val="674"/>
    <w:rPr>
      <w:rFonts w:ascii="Wingdings" w:hAnsi="Wingdings"/>
    </w:rPr>
  </w:style>
  <w:style w:type="paragraph" w:styleId="676">
    <w:name w:val="List"/>
    <w:basedOn w:val="739"/>
    <w:link w:val="677"/>
  </w:style>
  <w:style w:type="character" w:styleId="677" w:customStyle="1">
    <w:name w:val="Список Знак"/>
    <w:basedOn w:val="740"/>
    <w:link w:val="676"/>
    <w:rPr>
      <w:rFonts w:ascii="Arial" w:hAnsi="Arial"/>
    </w:rPr>
  </w:style>
  <w:style w:type="paragraph" w:styleId="678">
    <w:name w:val="toc 6"/>
    <w:next w:val="649"/>
    <w:link w:val="679"/>
    <w:uiPriority w:val="39"/>
    <w:pPr>
      <w:ind w:left="1000"/>
    </w:pPr>
    <w:rPr>
      <w:rFonts w:ascii="XO Thames" w:hAnsi="XO Thames"/>
      <w:sz w:val="28"/>
    </w:rPr>
  </w:style>
  <w:style w:type="character" w:styleId="679" w:customStyle="1">
    <w:name w:val="Оглавление 6 Знак"/>
    <w:link w:val="678"/>
    <w:rPr>
      <w:rFonts w:ascii="XO Thames" w:hAnsi="XO Thames"/>
      <w:sz w:val="28"/>
    </w:rPr>
  </w:style>
  <w:style w:type="paragraph" w:styleId="680" w:customStyle="1">
    <w:name w:val="WW-Absatz-Standardschriftart111111111111111111111"/>
    <w:link w:val="681"/>
  </w:style>
  <w:style w:type="character" w:styleId="681" w:customStyle="1">
    <w:name w:val="WW-Absatz-Standardschriftart111111111111111111111"/>
    <w:link w:val="680"/>
  </w:style>
  <w:style w:type="paragraph" w:styleId="682">
    <w:name w:val="toc 7"/>
    <w:next w:val="649"/>
    <w:link w:val="683"/>
    <w:uiPriority w:val="39"/>
    <w:pPr>
      <w:ind w:left="1200"/>
    </w:pPr>
    <w:rPr>
      <w:rFonts w:ascii="XO Thames" w:hAnsi="XO Thames"/>
      <w:sz w:val="28"/>
    </w:rPr>
  </w:style>
  <w:style w:type="character" w:styleId="683" w:customStyle="1">
    <w:name w:val="Оглавление 7 Знак"/>
    <w:link w:val="682"/>
    <w:rPr>
      <w:rFonts w:ascii="XO Thames" w:hAnsi="XO Thames"/>
      <w:sz w:val="28"/>
    </w:rPr>
  </w:style>
  <w:style w:type="paragraph" w:styleId="684" w:customStyle="1">
    <w:name w:val="WW-Absatz-Standardschriftart11111111111111111111111111111111"/>
    <w:link w:val="685"/>
  </w:style>
  <w:style w:type="character" w:styleId="685" w:customStyle="1">
    <w:name w:val="WW-Absatz-Standardschriftart11111111111111111111111111111111"/>
    <w:link w:val="684"/>
  </w:style>
  <w:style w:type="paragraph" w:styleId="686" w:customStyle="1">
    <w:name w:val="Заголовок таблицы"/>
    <w:basedOn w:val="771"/>
    <w:link w:val="687"/>
    <w:pPr>
      <w:jc w:val="center"/>
    </w:pPr>
    <w:rPr>
      <w:b/>
    </w:rPr>
  </w:style>
  <w:style w:type="character" w:styleId="687" w:customStyle="1">
    <w:name w:val="Заголовок таблицы"/>
    <w:basedOn w:val="772"/>
    <w:link w:val="686"/>
    <w:rPr>
      <w:rFonts w:ascii="Arial" w:hAnsi="Arial"/>
      <w:b/>
    </w:rPr>
  </w:style>
  <w:style w:type="paragraph" w:styleId="688" w:customStyle="1">
    <w:name w:val="WW-Absatz-Standardschriftart111111111111111111111111111111"/>
    <w:link w:val="689"/>
  </w:style>
  <w:style w:type="character" w:styleId="689" w:customStyle="1">
    <w:name w:val="WW-Absatz-Standardschriftart111111111111111111111111111111"/>
    <w:link w:val="688"/>
  </w:style>
  <w:style w:type="paragraph" w:styleId="690" w:customStyle="1">
    <w:name w:val="WW-Absatz-Standardschriftart11111111111111111111111111111111111111"/>
    <w:link w:val="691"/>
  </w:style>
  <w:style w:type="character" w:styleId="691" w:customStyle="1">
    <w:name w:val="WW-Absatz-Standardschriftart11111111111111111111111111111111111111"/>
    <w:link w:val="690"/>
  </w:style>
  <w:style w:type="paragraph" w:styleId="692" w:customStyle="1">
    <w:name w:val="Название1"/>
    <w:basedOn w:val="649"/>
    <w:link w:val="693"/>
    <w:pPr>
      <w:spacing w:before="120" w:after="120"/>
    </w:pPr>
    <w:rPr>
      <w:i/>
      <w:sz w:val="24"/>
    </w:rPr>
  </w:style>
  <w:style w:type="character" w:styleId="693" w:customStyle="1">
    <w:name w:val="Название1"/>
    <w:basedOn w:val="658"/>
    <w:link w:val="692"/>
    <w:rPr>
      <w:rFonts w:ascii="Arial" w:hAnsi="Arial"/>
      <w:i/>
      <w:sz w:val="24"/>
    </w:rPr>
  </w:style>
  <w:style w:type="paragraph" w:styleId="694" w:customStyle="1">
    <w:name w:val="Endnote"/>
    <w:link w:val="695"/>
    <w:pPr>
      <w:ind w:firstLine="851"/>
      <w:jc w:val="both"/>
    </w:pPr>
    <w:rPr>
      <w:rFonts w:ascii="XO Thames" w:hAnsi="XO Thames"/>
      <w:sz w:val="22"/>
    </w:rPr>
  </w:style>
  <w:style w:type="character" w:styleId="695" w:customStyle="1">
    <w:name w:val="Endnote"/>
    <w:link w:val="694"/>
    <w:rPr>
      <w:rFonts w:ascii="XO Thames" w:hAnsi="XO Thames"/>
      <w:sz w:val="22"/>
    </w:rPr>
  </w:style>
  <w:style w:type="character" w:styleId="696" w:customStyle="1">
    <w:name w:val="Заголовок 3 Знак"/>
    <w:link w:val="652"/>
    <w:rPr>
      <w:rFonts w:ascii="XO Thames" w:hAnsi="XO Thames"/>
      <w:b/>
      <w:sz w:val="26"/>
    </w:rPr>
  </w:style>
  <w:style w:type="paragraph" w:styleId="697" w:customStyle="1">
    <w:name w:val="WW-Absatz-Standardschriftart111111111111111111111111111111111"/>
    <w:link w:val="698"/>
  </w:style>
  <w:style w:type="character" w:styleId="698" w:customStyle="1">
    <w:name w:val="WW-Absatz-Standardschriftart111111111111111111111111111111111"/>
    <w:link w:val="697"/>
  </w:style>
  <w:style w:type="paragraph" w:styleId="699" w:customStyle="1">
    <w:name w:val="WW8Num2z0"/>
    <w:link w:val="700"/>
    <w:rPr>
      <w:rFonts w:ascii="Wingdings 2" w:hAnsi="Wingdings 2"/>
    </w:rPr>
  </w:style>
  <w:style w:type="character" w:styleId="700" w:customStyle="1">
    <w:name w:val="WW8Num2z0"/>
    <w:link w:val="699"/>
    <w:rPr>
      <w:rFonts w:ascii="Wingdings 2" w:hAnsi="Wingdings 2"/>
    </w:rPr>
  </w:style>
  <w:style w:type="paragraph" w:styleId="701" w:customStyle="1">
    <w:name w:val="WW-Absatz-Standardschriftart11111111"/>
    <w:link w:val="702"/>
  </w:style>
  <w:style w:type="character" w:styleId="702" w:customStyle="1">
    <w:name w:val="WW-Absatz-Standardschriftart11111111"/>
    <w:link w:val="701"/>
  </w:style>
  <w:style w:type="paragraph" w:styleId="703" w:customStyle="1">
    <w:name w:val="Строгий1"/>
    <w:link w:val="704"/>
    <w:rPr>
      <w:b/>
    </w:rPr>
  </w:style>
  <w:style w:type="character" w:styleId="704">
    <w:name w:val="Strong"/>
    <w:link w:val="703"/>
    <w:rPr>
      <w:b/>
    </w:rPr>
  </w:style>
  <w:style w:type="paragraph" w:styleId="705" w:customStyle="1">
    <w:name w:val="WW-Absatz-Standardschriftart11111111111111111"/>
    <w:link w:val="706"/>
  </w:style>
  <w:style w:type="character" w:styleId="706" w:customStyle="1">
    <w:name w:val="WW-Absatz-Standardschriftart11111111111111111"/>
    <w:link w:val="705"/>
  </w:style>
  <w:style w:type="paragraph" w:styleId="707" w:customStyle="1">
    <w:name w:val="WW-Absatz-Standardschriftart11111111111111111111111111111"/>
    <w:link w:val="708"/>
  </w:style>
  <w:style w:type="character" w:styleId="708" w:customStyle="1">
    <w:name w:val="WW-Absatz-Standardschriftart11111111111111111111111111111"/>
    <w:link w:val="707"/>
  </w:style>
  <w:style w:type="paragraph" w:styleId="709" w:customStyle="1">
    <w:name w:val="WW-Absatz-Standardschriftart111111111"/>
    <w:link w:val="710"/>
  </w:style>
  <w:style w:type="character" w:styleId="710" w:customStyle="1">
    <w:name w:val="WW-Absatz-Standardschriftart111111111"/>
    <w:link w:val="709"/>
  </w:style>
  <w:style w:type="paragraph" w:styleId="711" w:customStyle="1">
    <w:name w:val="WW8Num1z0"/>
    <w:link w:val="712"/>
    <w:rPr>
      <w:rFonts w:ascii="Symbol" w:hAnsi="Symbol"/>
    </w:rPr>
  </w:style>
  <w:style w:type="character" w:styleId="712" w:customStyle="1">
    <w:name w:val="WW8Num1z0"/>
    <w:link w:val="711"/>
    <w:rPr>
      <w:rFonts w:ascii="Symbol" w:hAnsi="Symbol"/>
    </w:rPr>
  </w:style>
  <w:style w:type="paragraph" w:styleId="713" w:customStyle="1">
    <w:name w:val="WW8Num3z0"/>
    <w:link w:val="714"/>
  </w:style>
  <w:style w:type="character" w:styleId="714" w:customStyle="1">
    <w:name w:val="WW8Num3z0"/>
    <w:link w:val="713"/>
    <w:rPr>
      <w:rFonts w:ascii="Times New Roman" w:hAnsi="Times New Roman"/>
    </w:rPr>
  </w:style>
  <w:style w:type="paragraph" w:styleId="715" w:customStyle="1">
    <w:name w:val="WW-Absatz-Standardschriftart111111111111111111111111"/>
    <w:link w:val="716"/>
  </w:style>
  <w:style w:type="character" w:styleId="716" w:customStyle="1">
    <w:name w:val="WW-Absatz-Standardschriftart111111111111111111111111"/>
    <w:link w:val="715"/>
  </w:style>
  <w:style w:type="paragraph" w:styleId="717" w:customStyle="1">
    <w:name w:val="WW-Absatz-Standardschriftart1111111111111111111111111111111"/>
    <w:link w:val="718"/>
  </w:style>
  <w:style w:type="character" w:styleId="718" w:customStyle="1">
    <w:name w:val="WW-Absatz-Standardschriftart1111111111111111111111111111111"/>
    <w:link w:val="717"/>
  </w:style>
  <w:style w:type="paragraph" w:styleId="719" w:customStyle="1">
    <w:name w:val="WW8Num3z3"/>
    <w:link w:val="720"/>
    <w:rPr>
      <w:rFonts w:ascii="Symbol" w:hAnsi="Symbol"/>
    </w:rPr>
  </w:style>
  <w:style w:type="character" w:styleId="720" w:customStyle="1">
    <w:name w:val="WW8Num3z3"/>
    <w:link w:val="719"/>
    <w:rPr>
      <w:rFonts w:ascii="Symbol" w:hAnsi="Symbol"/>
    </w:rPr>
  </w:style>
  <w:style w:type="paragraph" w:styleId="721" w:customStyle="1">
    <w:name w:val="WW-Absatz-Standardschriftart11111111111111111111"/>
    <w:link w:val="722"/>
  </w:style>
  <w:style w:type="character" w:styleId="722" w:customStyle="1">
    <w:name w:val="WW-Absatz-Standardschriftart11111111111111111111"/>
    <w:link w:val="721"/>
  </w:style>
  <w:style w:type="paragraph" w:styleId="723" w:customStyle="1">
    <w:name w:val="WW-Absatz-Standardschriftart1111111111111111111111111"/>
    <w:link w:val="724"/>
  </w:style>
  <w:style w:type="character" w:styleId="724" w:customStyle="1">
    <w:name w:val="WW-Absatz-Standardschriftart1111111111111111111111111"/>
    <w:link w:val="723"/>
  </w:style>
  <w:style w:type="paragraph" w:styleId="725">
    <w:name w:val="toc 3"/>
    <w:next w:val="649"/>
    <w:link w:val="726"/>
    <w:uiPriority w:val="39"/>
    <w:pPr>
      <w:ind w:left="400"/>
    </w:pPr>
    <w:rPr>
      <w:rFonts w:ascii="XO Thames" w:hAnsi="XO Thames"/>
      <w:sz w:val="28"/>
    </w:rPr>
  </w:style>
  <w:style w:type="character" w:styleId="726" w:customStyle="1">
    <w:name w:val="Оглавление 3 Знак"/>
    <w:link w:val="725"/>
    <w:rPr>
      <w:rFonts w:ascii="XO Thames" w:hAnsi="XO Thames"/>
      <w:sz w:val="28"/>
    </w:rPr>
  </w:style>
  <w:style w:type="paragraph" w:styleId="727">
    <w:name w:val="List Paragraph"/>
    <w:basedOn w:val="649"/>
    <w:link w:val="728"/>
    <w:pPr>
      <w:ind w:left="708"/>
    </w:pPr>
  </w:style>
  <w:style w:type="character" w:styleId="728" w:customStyle="1">
    <w:name w:val="Абзац списка Знак"/>
    <w:basedOn w:val="658"/>
    <w:link w:val="727"/>
    <w:rPr>
      <w:rFonts w:ascii="Arial" w:hAnsi="Arial"/>
    </w:rPr>
  </w:style>
  <w:style w:type="paragraph" w:styleId="729" w:customStyle="1">
    <w:name w:val="WW-Absatz-Standardschriftart1111111111111111111111111111111111111111"/>
    <w:link w:val="730"/>
  </w:style>
  <w:style w:type="character" w:styleId="730" w:customStyle="1">
    <w:name w:val="WW-Absatz-Standardschriftart1111111111111111111111111111111111111111"/>
    <w:link w:val="729"/>
  </w:style>
  <w:style w:type="paragraph" w:styleId="731" w:customStyle="1">
    <w:name w:val="WW-Absatz-Standardschriftart11111111111111"/>
    <w:link w:val="732"/>
  </w:style>
  <w:style w:type="character" w:styleId="732" w:customStyle="1">
    <w:name w:val="WW-Absatz-Standardschriftart11111111111111"/>
    <w:link w:val="731"/>
  </w:style>
  <w:style w:type="paragraph" w:styleId="733" w:customStyle="1">
    <w:name w:val="WW8Num1z1"/>
    <w:link w:val="734"/>
    <w:rPr>
      <w:rFonts w:ascii="OpenSymbol" w:hAnsi="OpenSymbol"/>
    </w:rPr>
  </w:style>
  <w:style w:type="character" w:styleId="734" w:customStyle="1">
    <w:name w:val="WW8Num1z1"/>
    <w:link w:val="733"/>
    <w:rPr>
      <w:rFonts w:ascii="OpenSymbol" w:hAnsi="OpenSymbol"/>
    </w:rPr>
  </w:style>
  <w:style w:type="paragraph" w:styleId="735" w:customStyle="1">
    <w:name w:val="Стиль маркированный Symbol (Symbol) Слева:  063 см Выступ:  12..."/>
    <w:basedOn w:val="649"/>
    <w:link w:val="736"/>
    <w:pPr>
      <w:numPr>
        <w:ilvl w:val="0"/>
        <w:numId w:val="16"/>
      </w:numPr>
      <w:ind w:left="368" w:hanging="249"/>
    </w:pPr>
  </w:style>
  <w:style w:type="character" w:styleId="736" w:customStyle="1">
    <w:name w:val="Стиль маркированный Symbol (Symbol) Слева:  063 см Выступ:  12..."/>
    <w:basedOn w:val="658"/>
    <w:link w:val="735"/>
    <w:rPr>
      <w:rFonts w:ascii="Arial" w:hAnsi="Arial"/>
    </w:rPr>
  </w:style>
  <w:style w:type="paragraph" w:styleId="737" w:customStyle="1">
    <w:name w:val="WW-Absatz-Standardschriftart1111111111"/>
    <w:link w:val="738"/>
  </w:style>
  <w:style w:type="character" w:styleId="738" w:customStyle="1">
    <w:name w:val="WW-Absatz-Standardschriftart1111111111"/>
    <w:link w:val="737"/>
  </w:style>
  <w:style w:type="paragraph" w:styleId="739">
    <w:name w:val="Body Text"/>
    <w:basedOn w:val="649"/>
    <w:link w:val="740"/>
    <w:pPr>
      <w:spacing w:after="120"/>
    </w:pPr>
  </w:style>
  <w:style w:type="character" w:styleId="740" w:customStyle="1">
    <w:name w:val="Основной текст Знак"/>
    <w:basedOn w:val="658"/>
    <w:link w:val="739"/>
    <w:rPr>
      <w:rFonts w:ascii="Arial" w:hAnsi="Arial"/>
    </w:rPr>
  </w:style>
  <w:style w:type="paragraph" w:styleId="741" w:customStyle="1">
    <w:name w:val="WW-Absatz-Standardschriftart1111111111111111111111111111"/>
    <w:link w:val="742"/>
  </w:style>
  <w:style w:type="character" w:styleId="742" w:customStyle="1">
    <w:name w:val="WW-Absatz-Standardschriftart1111111111111111111111111111"/>
    <w:link w:val="741"/>
  </w:style>
  <w:style w:type="paragraph" w:styleId="743" w:customStyle="1">
    <w:name w:val="WW8Num2z1"/>
    <w:link w:val="744"/>
    <w:rPr>
      <w:rFonts w:ascii="OpenSymbol" w:hAnsi="OpenSymbol"/>
    </w:rPr>
  </w:style>
  <w:style w:type="character" w:styleId="744" w:customStyle="1">
    <w:name w:val="WW8Num2z1"/>
    <w:link w:val="743"/>
    <w:rPr>
      <w:rFonts w:ascii="OpenSymbol" w:hAnsi="OpenSymbol"/>
    </w:rPr>
  </w:style>
  <w:style w:type="paragraph" w:styleId="745" w:customStyle="1">
    <w:name w:val="WW-Absatz-Standardschriftart1111111111111111111111"/>
    <w:link w:val="746"/>
  </w:style>
  <w:style w:type="character" w:styleId="746" w:customStyle="1">
    <w:name w:val="WW-Absatz-Standardschriftart1111111111111111111111"/>
    <w:link w:val="745"/>
  </w:style>
  <w:style w:type="character" w:styleId="747" w:customStyle="1">
    <w:name w:val="Заголовок 5 Знак"/>
    <w:link w:val="654"/>
    <w:rPr>
      <w:rFonts w:ascii="XO Thames" w:hAnsi="XO Thames"/>
      <w:b/>
      <w:sz w:val="22"/>
    </w:rPr>
  </w:style>
  <w:style w:type="paragraph" w:styleId="748" w:customStyle="1">
    <w:name w:val="WW-Absatz-Standardschriftart"/>
    <w:link w:val="749"/>
  </w:style>
  <w:style w:type="character" w:styleId="749" w:customStyle="1">
    <w:name w:val="WW-Absatz-Standardschriftart"/>
    <w:link w:val="748"/>
  </w:style>
  <w:style w:type="character" w:styleId="750" w:customStyle="1">
    <w:name w:val="Заголовок 1 Знак"/>
    <w:basedOn w:val="658"/>
    <w:link w:val="650"/>
    <w:rPr>
      <w:rFonts w:ascii="Arial" w:hAnsi="Arial"/>
      <w:sz w:val="36"/>
    </w:rPr>
  </w:style>
  <w:style w:type="paragraph" w:styleId="751" w:customStyle="1">
    <w:name w:val="WW-Absatz-Standardschriftart1"/>
    <w:link w:val="752"/>
  </w:style>
  <w:style w:type="character" w:styleId="752" w:customStyle="1">
    <w:name w:val="WW-Absatz-Standardschriftart1"/>
    <w:link w:val="751"/>
  </w:style>
  <w:style w:type="paragraph" w:styleId="753" w:customStyle="1">
    <w:name w:val="Указатель1"/>
    <w:basedOn w:val="649"/>
    <w:link w:val="754"/>
  </w:style>
  <w:style w:type="character" w:styleId="754" w:customStyle="1">
    <w:name w:val="Указатель1"/>
    <w:basedOn w:val="658"/>
    <w:link w:val="753"/>
    <w:rPr>
      <w:rFonts w:ascii="Arial" w:hAnsi="Arial"/>
    </w:rPr>
  </w:style>
  <w:style w:type="paragraph" w:styleId="755" w:customStyle="1">
    <w:name w:val="Гиперссылка1"/>
    <w:link w:val="756"/>
    <w:rPr>
      <w:color w:val="000080"/>
      <w:u w:val="single"/>
    </w:rPr>
  </w:style>
  <w:style w:type="character" w:styleId="756">
    <w:name w:val="Hyperlink"/>
    <w:link w:val="755"/>
    <w:rPr>
      <w:color w:val="000080"/>
      <w:u w:val="single"/>
    </w:rPr>
  </w:style>
  <w:style w:type="paragraph" w:styleId="757" w:customStyle="1">
    <w:name w:val="Footnote"/>
    <w:link w:val="758"/>
    <w:pPr>
      <w:ind w:firstLine="851"/>
      <w:jc w:val="both"/>
    </w:pPr>
    <w:rPr>
      <w:rFonts w:ascii="XO Thames" w:hAnsi="XO Thames"/>
      <w:sz w:val="22"/>
    </w:rPr>
  </w:style>
  <w:style w:type="character" w:styleId="758" w:customStyle="1">
    <w:name w:val="Footnote"/>
    <w:link w:val="757"/>
    <w:rPr>
      <w:rFonts w:ascii="XO Thames" w:hAnsi="XO Thames"/>
      <w:sz w:val="22"/>
    </w:rPr>
  </w:style>
  <w:style w:type="paragraph" w:styleId="759" w:customStyle="1">
    <w:name w:val="WW-Absatz-Standardschriftart111111111111111111"/>
    <w:link w:val="760"/>
  </w:style>
  <w:style w:type="character" w:styleId="760" w:customStyle="1">
    <w:name w:val="WW-Absatz-Standardschriftart111111111111111111"/>
    <w:link w:val="759"/>
  </w:style>
  <w:style w:type="paragraph" w:styleId="761">
    <w:name w:val="toc 1"/>
    <w:next w:val="649"/>
    <w:link w:val="762"/>
    <w:uiPriority w:val="39"/>
    <w:rPr>
      <w:rFonts w:ascii="XO Thames" w:hAnsi="XO Thames"/>
      <w:b/>
      <w:sz w:val="28"/>
    </w:rPr>
  </w:style>
  <w:style w:type="character" w:styleId="762" w:customStyle="1">
    <w:name w:val="Оглавление 1 Знак"/>
    <w:link w:val="761"/>
    <w:rPr>
      <w:rFonts w:ascii="XO Thames" w:hAnsi="XO Thames"/>
      <w:b/>
      <w:sz w:val="28"/>
    </w:rPr>
  </w:style>
  <w:style w:type="paragraph" w:styleId="763" w:customStyle="1">
    <w:name w:val="WW8Num4z0"/>
    <w:link w:val="764"/>
    <w:rPr>
      <w:rFonts w:ascii="Symbol" w:hAnsi="Symbol"/>
    </w:rPr>
  </w:style>
  <w:style w:type="character" w:styleId="764" w:customStyle="1">
    <w:name w:val="WW8Num4z0"/>
    <w:link w:val="763"/>
    <w:rPr>
      <w:rFonts w:ascii="Symbol" w:hAnsi="Symbol"/>
    </w:rPr>
  </w:style>
  <w:style w:type="paragraph" w:styleId="765" w:customStyle="1">
    <w:name w:val="Символ нумерации"/>
    <w:link w:val="766"/>
  </w:style>
  <w:style w:type="character" w:styleId="766" w:customStyle="1">
    <w:name w:val="Символ нумерации"/>
    <w:link w:val="765"/>
  </w:style>
  <w:style w:type="paragraph" w:styleId="767" w:customStyle="1">
    <w:name w:val="Header and Footer"/>
    <w:link w:val="768"/>
    <w:pPr>
      <w:jc w:val="both"/>
    </w:pPr>
    <w:rPr>
      <w:rFonts w:ascii="XO Thames" w:hAnsi="XO Thames"/>
      <w:sz w:val="28"/>
    </w:rPr>
  </w:style>
  <w:style w:type="character" w:styleId="768" w:customStyle="1">
    <w:name w:val="Header and Footer"/>
    <w:link w:val="767"/>
    <w:rPr>
      <w:rFonts w:ascii="XO Thames" w:hAnsi="XO Thames"/>
      <w:sz w:val="28"/>
    </w:rPr>
  </w:style>
  <w:style w:type="paragraph" w:styleId="769" w:customStyle="1">
    <w:name w:val="WW8Num4z1"/>
    <w:link w:val="770"/>
    <w:rPr>
      <w:rFonts w:ascii="Courier New" w:hAnsi="Courier New"/>
    </w:rPr>
  </w:style>
  <w:style w:type="character" w:styleId="770" w:customStyle="1">
    <w:name w:val="WW8Num4z1"/>
    <w:link w:val="769"/>
    <w:rPr>
      <w:rFonts w:ascii="Courier New" w:hAnsi="Courier New"/>
    </w:rPr>
  </w:style>
  <w:style w:type="paragraph" w:styleId="771" w:customStyle="1">
    <w:name w:val="Содержимое таблицы"/>
    <w:basedOn w:val="649"/>
    <w:link w:val="772"/>
  </w:style>
  <w:style w:type="character" w:styleId="772" w:customStyle="1">
    <w:name w:val="Содержимое таблицы"/>
    <w:basedOn w:val="658"/>
    <w:link w:val="771"/>
    <w:rPr>
      <w:rFonts w:ascii="Arial" w:hAnsi="Arial"/>
    </w:rPr>
  </w:style>
  <w:style w:type="paragraph" w:styleId="773">
    <w:name w:val="toc 9"/>
    <w:next w:val="649"/>
    <w:link w:val="774"/>
    <w:uiPriority w:val="39"/>
    <w:pPr>
      <w:ind w:left="1600"/>
    </w:pPr>
    <w:rPr>
      <w:rFonts w:ascii="XO Thames" w:hAnsi="XO Thames"/>
      <w:sz w:val="28"/>
    </w:rPr>
  </w:style>
  <w:style w:type="character" w:styleId="774" w:customStyle="1">
    <w:name w:val="Оглавление 9 Знак"/>
    <w:link w:val="773"/>
    <w:rPr>
      <w:rFonts w:ascii="XO Thames" w:hAnsi="XO Thames"/>
      <w:sz w:val="28"/>
    </w:rPr>
  </w:style>
  <w:style w:type="paragraph" w:styleId="775">
    <w:name w:val="toc 8"/>
    <w:next w:val="649"/>
    <w:link w:val="776"/>
    <w:uiPriority w:val="39"/>
    <w:pPr>
      <w:ind w:left="1400"/>
    </w:pPr>
    <w:rPr>
      <w:rFonts w:ascii="XO Thames" w:hAnsi="XO Thames"/>
      <w:sz w:val="28"/>
    </w:rPr>
  </w:style>
  <w:style w:type="character" w:styleId="776" w:customStyle="1">
    <w:name w:val="Оглавление 8 Знак"/>
    <w:link w:val="775"/>
    <w:rPr>
      <w:rFonts w:ascii="XO Thames" w:hAnsi="XO Thames"/>
      <w:sz w:val="28"/>
    </w:rPr>
  </w:style>
  <w:style w:type="paragraph" w:styleId="777" w:customStyle="1">
    <w:name w:val="WW-Absatz-Standardschriftart1111111111111111111"/>
    <w:link w:val="778"/>
  </w:style>
  <w:style w:type="character" w:styleId="778" w:customStyle="1">
    <w:name w:val="WW-Absatz-Standardschriftart1111111111111111111"/>
    <w:link w:val="777"/>
  </w:style>
  <w:style w:type="paragraph" w:styleId="779">
    <w:name w:val="Balloon Text"/>
    <w:basedOn w:val="649"/>
    <w:link w:val="780"/>
    <w:rPr>
      <w:rFonts w:ascii="Tahoma" w:hAnsi="Tahoma"/>
      <w:sz w:val="16"/>
    </w:rPr>
  </w:style>
  <w:style w:type="character" w:styleId="780" w:customStyle="1">
    <w:name w:val="Текст выноски Знак"/>
    <w:basedOn w:val="658"/>
    <w:link w:val="779"/>
    <w:rPr>
      <w:rFonts w:ascii="Tahoma" w:hAnsi="Tahoma"/>
      <w:sz w:val="16"/>
    </w:rPr>
  </w:style>
  <w:style w:type="paragraph" w:styleId="781" w:customStyle="1">
    <w:name w:val="wmi-callto"/>
    <w:link w:val="782"/>
  </w:style>
  <w:style w:type="character" w:styleId="782" w:customStyle="1">
    <w:name w:val="wmi-callto"/>
    <w:link w:val="781"/>
  </w:style>
  <w:style w:type="paragraph" w:styleId="783" w:customStyle="1">
    <w:name w:val="WW-Absatz-Standardschriftart1111111111111111"/>
    <w:link w:val="784"/>
  </w:style>
  <w:style w:type="character" w:styleId="784" w:customStyle="1">
    <w:name w:val="WW-Absatz-Standardschriftart1111111111111111"/>
    <w:link w:val="783"/>
  </w:style>
  <w:style w:type="paragraph" w:styleId="785" w:customStyle="1">
    <w:name w:val="WW-Absatz-Standardschriftart111111"/>
    <w:link w:val="786"/>
  </w:style>
  <w:style w:type="character" w:styleId="786" w:customStyle="1">
    <w:name w:val="WW-Absatz-Standardschriftart111111"/>
    <w:link w:val="785"/>
  </w:style>
  <w:style w:type="paragraph" w:styleId="787" w:customStyle="1">
    <w:name w:val="WW-Absatz-Standardschriftart111"/>
    <w:link w:val="788"/>
  </w:style>
  <w:style w:type="character" w:styleId="788" w:customStyle="1">
    <w:name w:val="WW-Absatz-Standardschriftart111"/>
    <w:link w:val="787"/>
  </w:style>
  <w:style w:type="paragraph" w:styleId="789">
    <w:name w:val="toc 5"/>
    <w:next w:val="649"/>
    <w:link w:val="790"/>
    <w:uiPriority w:val="39"/>
    <w:pPr>
      <w:ind w:left="800"/>
    </w:pPr>
    <w:rPr>
      <w:rFonts w:ascii="XO Thames" w:hAnsi="XO Thames"/>
      <w:sz w:val="28"/>
    </w:rPr>
  </w:style>
  <w:style w:type="character" w:styleId="790" w:customStyle="1">
    <w:name w:val="Оглавление 5 Знак"/>
    <w:link w:val="789"/>
    <w:rPr>
      <w:rFonts w:ascii="XO Thames" w:hAnsi="XO Thames"/>
      <w:sz w:val="28"/>
    </w:rPr>
  </w:style>
  <w:style w:type="paragraph" w:styleId="791">
    <w:name w:val="No Spacing"/>
    <w:link w:val="792"/>
    <w:rPr>
      <w:rFonts w:ascii="Arial" w:hAnsi="Arial"/>
    </w:rPr>
  </w:style>
  <w:style w:type="character" w:styleId="792" w:customStyle="1">
    <w:name w:val="Без интервала Знак"/>
    <w:link w:val="791"/>
    <w:rPr>
      <w:rFonts w:ascii="Arial" w:hAnsi="Arial"/>
    </w:rPr>
  </w:style>
  <w:style w:type="paragraph" w:styleId="793" w:customStyle="1">
    <w:name w:val="WW-Absatz-Standardschriftart1111111111111111111111111111111111111"/>
    <w:link w:val="794"/>
  </w:style>
  <w:style w:type="character" w:styleId="794" w:customStyle="1">
    <w:name w:val="WW-Absatz-Standardschriftart1111111111111111111111111111111111111"/>
    <w:link w:val="793"/>
  </w:style>
  <w:style w:type="paragraph" w:styleId="795" w:customStyle="1">
    <w:name w:val="WW-Absatz-Standardschriftart111111111111111"/>
    <w:link w:val="796"/>
  </w:style>
  <w:style w:type="character" w:styleId="796" w:customStyle="1">
    <w:name w:val="WW-Absatz-Standardschriftart111111111111111"/>
    <w:link w:val="795"/>
  </w:style>
  <w:style w:type="paragraph" w:styleId="797" w:customStyle="1">
    <w:name w:val="WW-Absatz-Standardschriftart11111111111"/>
    <w:link w:val="798"/>
  </w:style>
  <w:style w:type="character" w:styleId="798" w:customStyle="1">
    <w:name w:val="WW-Absatz-Standardschriftart11111111111"/>
    <w:link w:val="797"/>
  </w:style>
  <w:style w:type="paragraph" w:styleId="799" w:customStyle="1">
    <w:name w:val="WW-Absatz-Standardschriftart1111111"/>
    <w:link w:val="800"/>
  </w:style>
  <w:style w:type="character" w:styleId="800" w:customStyle="1">
    <w:name w:val="WW-Absatz-Standardschriftart1111111"/>
    <w:link w:val="799"/>
  </w:style>
  <w:style w:type="paragraph" w:styleId="801" w:customStyle="1">
    <w:name w:val="WW-Absatz-Standardschriftart111111111111111111111111111"/>
    <w:link w:val="802"/>
  </w:style>
  <w:style w:type="character" w:styleId="802" w:customStyle="1">
    <w:name w:val="WW-Absatz-Standardschriftart111111111111111111111111111"/>
    <w:link w:val="801"/>
  </w:style>
  <w:style w:type="paragraph" w:styleId="803">
    <w:name w:val="Normal (Web)"/>
    <w:basedOn w:val="649"/>
    <w:link w:val="804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styleId="804" w:customStyle="1">
    <w:name w:val="Обычный (веб) Знак"/>
    <w:basedOn w:val="658"/>
    <w:link w:val="803"/>
    <w:rPr>
      <w:rFonts w:ascii="Times New Roman" w:hAnsi="Times New Roman"/>
      <w:sz w:val="24"/>
    </w:rPr>
  </w:style>
  <w:style w:type="paragraph" w:styleId="805" w:customStyle="1">
    <w:name w:val="Absatz-Standardschriftart"/>
    <w:link w:val="806"/>
  </w:style>
  <w:style w:type="character" w:styleId="806" w:customStyle="1">
    <w:name w:val="Absatz-Standardschriftart"/>
    <w:link w:val="805"/>
  </w:style>
  <w:style w:type="paragraph" w:styleId="807">
    <w:name w:val="Subtitle"/>
    <w:next w:val="649"/>
    <w:link w:val="808"/>
    <w:uiPriority w:val="11"/>
    <w:qFormat/>
    <w:pPr>
      <w:jc w:val="both"/>
    </w:pPr>
    <w:rPr>
      <w:rFonts w:ascii="XO Thames" w:hAnsi="XO Thames"/>
      <w:i/>
      <w:sz w:val="24"/>
    </w:rPr>
  </w:style>
  <w:style w:type="character" w:styleId="808" w:customStyle="1">
    <w:name w:val="Подзаголовок Знак"/>
    <w:link w:val="807"/>
    <w:rPr>
      <w:rFonts w:ascii="XO Thames" w:hAnsi="XO Thames"/>
      <w:i/>
      <w:sz w:val="24"/>
    </w:rPr>
  </w:style>
  <w:style w:type="paragraph" w:styleId="809" w:customStyle="1">
    <w:name w:val="WW-Absatz-Standardschriftart1111111111111111111111111111111111"/>
    <w:link w:val="810"/>
  </w:style>
  <w:style w:type="character" w:styleId="810" w:customStyle="1">
    <w:name w:val="WW-Absatz-Standardschriftart1111111111111111111111111111111111"/>
    <w:link w:val="809"/>
  </w:style>
  <w:style w:type="paragraph" w:styleId="811" w:customStyle="1">
    <w:name w:val="apple-converted-space"/>
    <w:link w:val="812"/>
  </w:style>
  <w:style w:type="character" w:styleId="812" w:customStyle="1">
    <w:name w:val="apple-converted-space"/>
    <w:link w:val="811"/>
  </w:style>
  <w:style w:type="paragraph" w:styleId="813">
    <w:name w:val="Title"/>
    <w:basedOn w:val="649"/>
    <w:next w:val="739"/>
    <w:link w:val="814"/>
    <w:uiPriority w:val="10"/>
    <w:qFormat/>
    <w:pPr>
      <w:keepNext/>
      <w:spacing w:before="240" w:after="120"/>
    </w:pPr>
    <w:rPr>
      <w:sz w:val="28"/>
    </w:rPr>
  </w:style>
  <w:style w:type="character" w:styleId="814" w:customStyle="1">
    <w:name w:val="Заголовок Знак"/>
    <w:basedOn w:val="658"/>
    <w:link w:val="813"/>
    <w:rPr>
      <w:rFonts w:ascii="Arial" w:hAnsi="Arial"/>
      <w:sz w:val="28"/>
    </w:rPr>
  </w:style>
  <w:style w:type="character" w:styleId="815" w:customStyle="1">
    <w:name w:val="Заголовок 4 Знак"/>
    <w:link w:val="653"/>
    <w:rPr>
      <w:rFonts w:ascii="XO Thames" w:hAnsi="XO Thames"/>
      <w:b/>
      <w:sz w:val="24"/>
    </w:rPr>
  </w:style>
  <w:style w:type="character" w:styleId="816" w:customStyle="1">
    <w:name w:val="Заголовок 2 Знак"/>
    <w:basedOn w:val="658"/>
    <w:link w:val="651"/>
    <w:rPr>
      <w:rFonts w:ascii="Arial" w:hAnsi="Arial"/>
      <w:sz w:val="28"/>
    </w:rPr>
  </w:style>
  <w:style w:type="paragraph" w:styleId="817" w:customStyle="1">
    <w:name w:val="WW-Absatz-Standardschriftart11111"/>
    <w:link w:val="818"/>
  </w:style>
  <w:style w:type="character" w:styleId="818" w:customStyle="1">
    <w:name w:val="WW-Absatz-Standardschriftart11111"/>
    <w:link w:val="817"/>
  </w:style>
  <w:style w:type="paragraph" w:styleId="819" w:customStyle="1">
    <w:name w:val="WW-Absatz-Standardschriftart111111111111"/>
    <w:link w:val="820"/>
  </w:style>
  <w:style w:type="character" w:styleId="820" w:customStyle="1">
    <w:name w:val="WW-Absatz-Standardschriftart111111111111"/>
    <w:link w:val="819"/>
  </w:style>
  <w:style w:type="paragraph" w:styleId="821" w:customStyle="1">
    <w:name w:val="WW-Absatz-Standardschriftart11111111111111111111111111"/>
    <w:link w:val="822"/>
  </w:style>
  <w:style w:type="character" w:styleId="822" w:customStyle="1">
    <w:name w:val="WW-Absatz-Standardschriftart11111111111111111111111111"/>
    <w:link w:val="821"/>
  </w:style>
  <w:style w:type="paragraph" w:styleId="823" w:customStyle="1">
    <w:name w:val="WW-Absatz-Standardschriftart1111111111111"/>
    <w:link w:val="824"/>
  </w:style>
  <w:style w:type="character" w:styleId="824" w:customStyle="1">
    <w:name w:val="WW-Absatz-Standardschriftart1111111111111"/>
    <w:link w:val="823"/>
  </w:style>
  <w:style w:type="paragraph" w:styleId="825" w:customStyle="1">
    <w:name w:val="WW-Absatz-Standardschriftart111111111111111111111111111111111111111"/>
    <w:link w:val="826"/>
  </w:style>
  <w:style w:type="character" w:styleId="826" w:customStyle="1">
    <w:name w:val="WW-Absatz-Standardschriftart111111111111111111111111111111111111111"/>
    <w:link w:val="825"/>
  </w:style>
  <w:style w:type="paragraph" w:styleId="827" w:customStyle="1">
    <w:name w:val="WW-Absatz-Standardschriftart11111111111111111111111"/>
    <w:link w:val="828"/>
  </w:style>
  <w:style w:type="character" w:styleId="828" w:customStyle="1">
    <w:name w:val="WW-Absatz-Standardschriftart11111111111111111111111"/>
    <w:link w:val="827"/>
  </w:style>
  <w:style w:type="paragraph" w:styleId="829" w:customStyle="1">
    <w:name w:val="WW-Absatz-Standardschriftart11"/>
    <w:link w:val="830"/>
  </w:style>
  <w:style w:type="character" w:styleId="830" w:customStyle="1">
    <w:name w:val="WW-Absatz-Standardschriftart11"/>
    <w:link w:val="829"/>
  </w:style>
  <w:style w:type="paragraph" w:styleId="831" w:customStyle="1">
    <w:name w:val="Маркеры списка"/>
    <w:link w:val="832"/>
    <w:rPr>
      <w:rFonts w:ascii="OpenSymbol" w:hAnsi="OpenSymbol"/>
    </w:rPr>
  </w:style>
  <w:style w:type="character" w:styleId="832" w:customStyle="1">
    <w:name w:val="Маркеры списка"/>
    <w:link w:val="831"/>
    <w:rPr>
      <w:rFonts w:ascii="OpenSymbol" w:hAnsi="OpenSymbol"/>
    </w:rPr>
  </w:style>
  <w:style w:type="table" w:styleId="833" w:customStyle="1">
    <w:name w:val="Сетка таблицы3"/>
    <w:basedOn w:val="656"/>
    <w:rPr>
      <w:rFonts w:ascii="Calibri" w:hAnsi="Calibr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34" w:customStyle="1">
    <w:name w:val="Сетка таблицы1"/>
    <w:basedOn w:val="656"/>
    <w:rPr>
      <w:rFonts w:ascii="Calibri" w:hAnsi="Calibr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35">
    <w:name w:val="Table Grid"/>
    <w:basedOn w:val="65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www.bujet.ru/" TargetMode="External"/><Relationship Id="rId11" Type="http://schemas.openxmlformats.org/officeDocument/2006/relationships/hyperlink" Target="https://www.hotel-vega.ru/booking/" TargetMode="External"/><Relationship Id="rId12" Type="http://schemas.openxmlformats.org/officeDocument/2006/relationships/hyperlink" Target="https://www.hotel-vega.ru/booking/" TargetMode="External"/><Relationship Id="rId13" Type="http://schemas.openxmlformats.org/officeDocument/2006/relationships/hyperlink" Target="https://budget-edu.ru/pers/" TargetMode="External"/><Relationship Id="rId14" Type="http://schemas.openxmlformats.org/officeDocument/2006/relationships/hyperlink" Target="http://budget-edu.ru/calendar/358658/" TargetMode="External"/><Relationship Id="rId15" Type="http://schemas.openxmlformats.org/officeDocument/2006/relationships/hyperlink" Target="http://budget-edu.ru/" TargetMode="External"/><Relationship Id="rId16" Type="http://schemas.openxmlformats.org/officeDocument/2006/relationships/hyperlink" Target="mailto:yudahina.em@bujet.ru" TargetMode="External"/><Relationship Id="rId17" Type="http://schemas.openxmlformats.org/officeDocument/2006/relationships/hyperlink" Target="mailto:antipova.ea@bujet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Arial"/>
        <a:cs typeface="Arial"/>
      </a:majorFont>
      <a:minorFont>
        <a:latin typeface="XO Thame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maria.spiridonova</cp:lastModifiedBy>
  <cp:revision>4</cp:revision>
  <dcterms:created xsi:type="dcterms:W3CDTF">2026-06-03T09:14:00Z</dcterms:created>
  <dcterms:modified xsi:type="dcterms:W3CDTF">2026-08-26T07:02:52Z</dcterms:modified>
</cp:coreProperties>
</file>